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7ECF4" w14:textId="0EBC761A" w:rsidR="006C7E84" w:rsidRPr="00432685" w:rsidRDefault="0074622A" w:rsidP="00CC7CDB">
      <w:pPr>
        <w:tabs>
          <w:tab w:val="left" w:pos="426"/>
        </w:tabs>
        <w:jc w:val="center"/>
        <w:rPr>
          <w:b/>
          <w:sz w:val="28"/>
          <w:szCs w:val="28"/>
          <w:lang w:val="en-GB"/>
        </w:rPr>
      </w:pPr>
      <w:bookmarkStart w:id="0" w:name="_GoBack"/>
      <w:bookmarkEnd w:id="0"/>
      <w:r w:rsidRPr="0074622A">
        <w:rPr>
          <w:b/>
          <w:bCs/>
          <w:sz w:val="28"/>
          <w:szCs w:val="28"/>
          <w:lang w:val="en-GB"/>
        </w:rPr>
        <w:t xml:space="preserve">Recent </w:t>
      </w:r>
      <w:r>
        <w:rPr>
          <w:b/>
          <w:bCs/>
          <w:sz w:val="28"/>
          <w:szCs w:val="28"/>
          <w:lang w:val="en-GB"/>
        </w:rPr>
        <w:t>D</w:t>
      </w:r>
      <w:r w:rsidRPr="0074622A">
        <w:rPr>
          <w:b/>
          <w:bCs/>
          <w:sz w:val="28"/>
          <w:szCs w:val="28"/>
          <w:lang w:val="en-GB"/>
        </w:rPr>
        <w:t xml:space="preserve">evelopments in </w:t>
      </w:r>
      <w:r w:rsidR="003B0897">
        <w:rPr>
          <w:b/>
          <w:bCs/>
          <w:sz w:val="28"/>
          <w:szCs w:val="28"/>
          <w:lang w:val="en-GB"/>
        </w:rPr>
        <w:t>‘</w:t>
      </w:r>
      <w:r w:rsidRPr="0074622A">
        <w:rPr>
          <w:b/>
          <w:bCs/>
          <w:sz w:val="28"/>
          <w:szCs w:val="28"/>
          <w:lang w:val="en-GB"/>
        </w:rPr>
        <w:t>Side A</w:t>
      </w:r>
      <w:r w:rsidR="003B0897">
        <w:rPr>
          <w:b/>
          <w:bCs/>
          <w:sz w:val="28"/>
          <w:szCs w:val="28"/>
          <w:lang w:val="en-GB"/>
        </w:rPr>
        <w:t>’</w:t>
      </w:r>
      <w:r w:rsidRPr="0074622A">
        <w:rPr>
          <w:b/>
          <w:bCs/>
          <w:sz w:val="28"/>
          <w:szCs w:val="28"/>
          <w:lang w:val="en-GB"/>
        </w:rPr>
        <w:t xml:space="preserve"> D&amp;O </w:t>
      </w:r>
      <w:r w:rsidR="003B0897">
        <w:rPr>
          <w:b/>
          <w:bCs/>
          <w:sz w:val="28"/>
          <w:szCs w:val="28"/>
          <w:lang w:val="en-GB"/>
        </w:rPr>
        <w:t>I</w:t>
      </w:r>
      <w:r w:rsidRPr="0074622A">
        <w:rPr>
          <w:b/>
          <w:bCs/>
          <w:sz w:val="28"/>
          <w:szCs w:val="28"/>
          <w:lang w:val="en-GB"/>
        </w:rPr>
        <w:t>nsurance in Germany</w:t>
      </w:r>
    </w:p>
    <w:p w14:paraId="511E610A" w14:textId="369B8FFE" w:rsidR="00E6718C" w:rsidRPr="00E6718C" w:rsidRDefault="00E6718C" w:rsidP="00E6718C">
      <w:pPr>
        <w:tabs>
          <w:tab w:val="left" w:pos="426"/>
        </w:tabs>
        <w:jc w:val="center"/>
        <w:rPr>
          <w:bCs/>
          <w:sz w:val="24"/>
          <w:szCs w:val="24"/>
          <w:lang w:val="en-GB"/>
        </w:rPr>
      </w:pPr>
      <w:r w:rsidRPr="00E6718C">
        <w:rPr>
          <w:bCs/>
          <w:sz w:val="24"/>
          <w:szCs w:val="24"/>
          <w:lang w:val="en-GB"/>
        </w:rPr>
        <w:t>by Robert Koch*</w:t>
      </w:r>
    </w:p>
    <w:p w14:paraId="15C7D09B" w14:textId="4DC31C38" w:rsidR="001B6256" w:rsidRPr="00AA7C7F" w:rsidRDefault="0088775C" w:rsidP="006C7E84">
      <w:pPr>
        <w:tabs>
          <w:tab w:val="left" w:pos="426"/>
        </w:tabs>
        <w:rPr>
          <w:sz w:val="24"/>
          <w:szCs w:val="24"/>
          <w:lang w:val="en-GB"/>
        </w:rPr>
      </w:pPr>
      <w:r w:rsidRPr="00AA7C7F">
        <w:rPr>
          <w:b/>
          <w:sz w:val="24"/>
          <w:szCs w:val="24"/>
          <w:lang w:val="en-GB"/>
        </w:rPr>
        <w:t>A</w:t>
      </w:r>
      <w:r w:rsidR="006C7E84" w:rsidRPr="00AA7C7F">
        <w:rPr>
          <w:b/>
          <w:sz w:val="24"/>
          <w:szCs w:val="24"/>
          <w:lang w:val="en-GB"/>
        </w:rPr>
        <w:t>.</w:t>
      </w:r>
      <w:r w:rsidR="006C7E84" w:rsidRPr="00AA7C7F">
        <w:rPr>
          <w:b/>
          <w:sz w:val="24"/>
          <w:szCs w:val="24"/>
          <w:lang w:val="en-GB"/>
        </w:rPr>
        <w:tab/>
      </w:r>
      <w:r w:rsidR="00432685">
        <w:rPr>
          <w:b/>
          <w:sz w:val="24"/>
          <w:szCs w:val="24"/>
          <w:lang w:val="en-GB"/>
        </w:rPr>
        <w:t>Relevance of ‘</w:t>
      </w:r>
      <w:r w:rsidR="00432685" w:rsidRPr="006C7E84">
        <w:rPr>
          <w:b/>
          <w:bCs/>
          <w:sz w:val="26"/>
          <w:szCs w:val="26"/>
          <w:lang w:val="en-US"/>
        </w:rPr>
        <w:t>Side A</w:t>
      </w:r>
      <w:r w:rsidR="00432685">
        <w:rPr>
          <w:b/>
          <w:bCs/>
          <w:sz w:val="26"/>
          <w:szCs w:val="26"/>
          <w:lang w:val="en-US"/>
        </w:rPr>
        <w:t xml:space="preserve">’ </w:t>
      </w:r>
      <w:r w:rsidR="00432685" w:rsidRPr="006C7E84">
        <w:rPr>
          <w:b/>
          <w:bCs/>
          <w:sz w:val="26"/>
          <w:szCs w:val="26"/>
          <w:lang w:val="en-US"/>
        </w:rPr>
        <w:t>D&amp;O Insurance</w:t>
      </w:r>
      <w:r w:rsidR="00432685">
        <w:rPr>
          <w:b/>
          <w:bCs/>
          <w:sz w:val="26"/>
          <w:szCs w:val="26"/>
          <w:lang w:val="en-US"/>
        </w:rPr>
        <w:t xml:space="preserve"> in Germany</w:t>
      </w:r>
    </w:p>
    <w:p w14:paraId="162F05E9" w14:textId="4C012B88" w:rsidR="00382D46" w:rsidRDefault="001B6256" w:rsidP="00857174">
      <w:pPr>
        <w:rPr>
          <w:sz w:val="24"/>
          <w:szCs w:val="24"/>
          <w:lang w:val="en-GB"/>
        </w:rPr>
      </w:pPr>
      <w:r w:rsidRPr="00AA7C7F">
        <w:rPr>
          <w:sz w:val="24"/>
          <w:szCs w:val="24"/>
          <w:lang w:val="en-GB"/>
        </w:rPr>
        <w:t xml:space="preserve">In Germany, </w:t>
      </w:r>
      <w:r w:rsidR="00722CF1" w:rsidRPr="00AA7C7F">
        <w:rPr>
          <w:sz w:val="24"/>
          <w:szCs w:val="24"/>
          <w:lang w:val="en-GB"/>
        </w:rPr>
        <w:t>‘</w:t>
      </w:r>
      <w:r w:rsidRPr="00AA7C7F">
        <w:rPr>
          <w:sz w:val="24"/>
          <w:szCs w:val="24"/>
          <w:lang w:val="en-GB"/>
        </w:rPr>
        <w:t>Side A</w:t>
      </w:r>
      <w:r w:rsidR="00722CF1" w:rsidRPr="00AA7C7F">
        <w:rPr>
          <w:sz w:val="24"/>
          <w:szCs w:val="24"/>
          <w:lang w:val="en-GB"/>
        </w:rPr>
        <w:t>’</w:t>
      </w:r>
      <w:r w:rsidRPr="00AA7C7F">
        <w:rPr>
          <w:sz w:val="24"/>
          <w:szCs w:val="24"/>
          <w:lang w:val="en-GB"/>
        </w:rPr>
        <w:t xml:space="preserve"> cover plays a crucial role in D&amp;O insurance. There are two reasons for this. Firstly, </w:t>
      </w:r>
      <w:r w:rsidR="00523106">
        <w:rPr>
          <w:sz w:val="24"/>
          <w:szCs w:val="24"/>
          <w:lang w:val="en-GB"/>
        </w:rPr>
        <w:t>members of the executive board</w:t>
      </w:r>
      <w:r w:rsidRPr="00AA7C7F">
        <w:rPr>
          <w:sz w:val="24"/>
          <w:szCs w:val="24"/>
          <w:lang w:val="en-GB"/>
        </w:rPr>
        <w:t xml:space="preserve"> </w:t>
      </w:r>
      <w:r w:rsidR="00722CF1" w:rsidRPr="00AA7C7F">
        <w:rPr>
          <w:sz w:val="24"/>
          <w:szCs w:val="24"/>
          <w:lang w:val="en-GB"/>
        </w:rPr>
        <w:t xml:space="preserve">owe </w:t>
      </w:r>
      <w:r w:rsidRPr="00AA7C7F">
        <w:rPr>
          <w:sz w:val="24"/>
          <w:szCs w:val="24"/>
          <w:lang w:val="en-GB"/>
        </w:rPr>
        <w:t xml:space="preserve">a duty of care </w:t>
      </w:r>
      <w:r w:rsidR="002F02E6" w:rsidRPr="00AA7C7F">
        <w:rPr>
          <w:sz w:val="24"/>
          <w:szCs w:val="24"/>
          <w:lang w:val="en-GB"/>
        </w:rPr>
        <w:t xml:space="preserve">and loyalty </w:t>
      </w:r>
      <w:r w:rsidR="009451A5" w:rsidRPr="00AA7C7F">
        <w:rPr>
          <w:sz w:val="24"/>
          <w:szCs w:val="24"/>
          <w:lang w:val="en-GB"/>
        </w:rPr>
        <w:t xml:space="preserve">only </w:t>
      </w:r>
      <w:r w:rsidRPr="00AA7C7F">
        <w:rPr>
          <w:sz w:val="24"/>
          <w:szCs w:val="24"/>
          <w:lang w:val="en-GB"/>
        </w:rPr>
        <w:t>to the</w:t>
      </w:r>
      <w:r w:rsidR="009451A5" w:rsidRPr="00AA7C7F">
        <w:rPr>
          <w:sz w:val="24"/>
          <w:szCs w:val="24"/>
          <w:lang w:val="en-GB"/>
        </w:rPr>
        <w:t>ir</w:t>
      </w:r>
      <w:r w:rsidRPr="00AA7C7F">
        <w:rPr>
          <w:sz w:val="24"/>
          <w:szCs w:val="24"/>
          <w:lang w:val="en-GB"/>
        </w:rPr>
        <w:t xml:space="preserve"> company (internal liability), but not to third parties (external liability</w:t>
      </w:r>
      <w:r w:rsidR="00857174" w:rsidRPr="00AA7C7F">
        <w:rPr>
          <w:sz w:val="24"/>
          <w:szCs w:val="24"/>
          <w:lang w:val="en-GB"/>
        </w:rPr>
        <w:t>).</w:t>
      </w:r>
      <w:r w:rsidR="00E6718C" w:rsidRPr="00036671">
        <w:rPr>
          <w:vertAlign w:val="superscript"/>
          <w:lang w:val="en-GB"/>
        </w:rPr>
        <w:footnoteReference w:id="1"/>
      </w:r>
      <w:r w:rsidR="00857174" w:rsidRPr="00AA7C7F">
        <w:rPr>
          <w:sz w:val="24"/>
          <w:szCs w:val="24"/>
          <w:lang w:val="en-GB"/>
        </w:rPr>
        <w:t xml:space="preserve"> They are liable to third parties only in exceptional circumstances, such as in the case of tortious acts, failure to pay taxes or social security contributions, or late filing for insolvency.</w:t>
      </w:r>
      <w:r w:rsidR="008D746A" w:rsidRPr="00036671">
        <w:rPr>
          <w:vertAlign w:val="superscript"/>
          <w:lang w:val="en-GB"/>
        </w:rPr>
        <w:footnoteReference w:id="2"/>
      </w:r>
      <w:r w:rsidRPr="00AA7C7F">
        <w:rPr>
          <w:sz w:val="24"/>
          <w:szCs w:val="24"/>
          <w:lang w:val="en-GB"/>
        </w:rPr>
        <w:t xml:space="preserve"> Secondly, the </w:t>
      </w:r>
      <w:r w:rsidR="00EA65E4">
        <w:rPr>
          <w:sz w:val="24"/>
          <w:szCs w:val="24"/>
          <w:lang w:val="en-GB"/>
        </w:rPr>
        <w:t>executive board members</w:t>
      </w:r>
      <w:r w:rsidRPr="00AA7C7F">
        <w:rPr>
          <w:sz w:val="24"/>
          <w:szCs w:val="24"/>
          <w:lang w:val="en-GB"/>
        </w:rPr>
        <w:t>’ dut</w:t>
      </w:r>
      <w:r w:rsidR="00C849BA">
        <w:rPr>
          <w:sz w:val="24"/>
          <w:szCs w:val="24"/>
          <w:lang w:val="en-GB"/>
        </w:rPr>
        <w:t>y</w:t>
      </w:r>
      <w:r w:rsidRPr="00AA7C7F">
        <w:rPr>
          <w:sz w:val="24"/>
          <w:szCs w:val="24"/>
          <w:lang w:val="en-GB"/>
        </w:rPr>
        <w:t xml:space="preserve"> of care </w:t>
      </w:r>
      <w:r w:rsidR="00C849BA">
        <w:rPr>
          <w:sz w:val="24"/>
          <w:szCs w:val="24"/>
          <w:lang w:val="en-GB"/>
        </w:rPr>
        <w:t xml:space="preserve">and loyalty </w:t>
      </w:r>
      <w:r w:rsidRPr="00AA7C7F">
        <w:rPr>
          <w:sz w:val="24"/>
          <w:szCs w:val="24"/>
          <w:lang w:val="en-GB"/>
        </w:rPr>
        <w:t>includes the obligation to ensure that the company acts lawfully and fulfils its legal obligations. Consequently, any breach of duty by the</w:t>
      </w:r>
      <w:r w:rsidR="00EA65E4">
        <w:rPr>
          <w:sz w:val="24"/>
          <w:szCs w:val="24"/>
          <w:lang w:val="en-GB"/>
        </w:rPr>
        <w:t>m</w:t>
      </w:r>
      <w:r w:rsidRPr="00AA7C7F">
        <w:rPr>
          <w:sz w:val="24"/>
          <w:szCs w:val="24"/>
          <w:lang w:val="en-GB"/>
        </w:rPr>
        <w:t xml:space="preserve"> in dealings with third parties, for which the company is liable either solely</w:t>
      </w:r>
      <w:r w:rsidR="00C849BA" w:rsidRPr="00036671">
        <w:rPr>
          <w:vertAlign w:val="superscript"/>
          <w:lang w:val="en-GB"/>
        </w:rPr>
        <w:footnoteReference w:id="3"/>
      </w:r>
      <w:r w:rsidRPr="00AA7C7F">
        <w:rPr>
          <w:sz w:val="24"/>
          <w:szCs w:val="24"/>
          <w:lang w:val="en-GB"/>
        </w:rPr>
        <w:t xml:space="preserve"> or jointly and severally,</w:t>
      </w:r>
      <w:r w:rsidR="00BD030B">
        <w:rPr>
          <w:sz w:val="24"/>
          <w:szCs w:val="24"/>
          <w:lang w:val="en-GB"/>
        </w:rPr>
        <w:t xml:space="preserve"> </w:t>
      </w:r>
      <w:r w:rsidRPr="00AA7C7F">
        <w:rPr>
          <w:sz w:val="24"/>
          <w:szCs w:val="24"/>
          <w:lang w:val="en-GB"/>
        </w:rPr>
        <w:t xml:space="preserve">also constitutes a breach of duty towards the company. For this reason, the company is under no obligation to indemnify its </w:t>
      </w:r>
      <w:r w:rsidR="00EA65E4">
        <w:rPr>
          <w:sz w:val="24"/>
          <w:szCs w:val="24"/>
          <w:lang w:val="en-GB"/>
        </w:rPr>
        <w:t>executive board members</w:t>
      </w:r>
      <w:r w:rsidR="00EA65E4" w:rsidRPr="00AA7C7F">
        <w:rPr>
          <w:sz w:val="24"/>
          <w:szCs w:val="24"/>
          <w:lang w:val="en-GB"/>
        </w:rPr>
        <w:t xml:space="preserve"> </w:t>
      </w:r>
      <w:r w:rsidR="009451A5" w:rsidRPr="00AA7C7F">
        <w:rPr>
          <w:sz w:val="24"/>
          <w:szCs w:val="24"/>
          <w:lang w:val="en-GB"/>
        </w:rPr>
        <w:t>from third party claims</w:t>
      </w:r>
      <w:r w:rsidRPr="00AA7C7F">
        <w:rPr>
          <w:sz w:val="24"/>
          <w:szCs w:val="24"/>
          <w:lang w:val="en-GB"/>
        </w:rPr>
        <w:t xml:space="preserve">. Rather, </w:t>
      </w:r>
      <w:r w:rsidR="006C52B2" w:rsidRPr="00AA7C7F">
        <w:rPr>
          <w:sz w:val="24"/>
          <w:szCs w:val="24"/>
          <w:lang w:val="en-GB"/>
        </w:rPr>
        <w:t xml:space="preserve">once the company has settled the third party’s claim for damages, it has a right of recourse against </w:t>
      </w:r>
      <w:r w:rsidR="00101164" w:rsidRPr="00101164">
        <w:rPr>
          <w:sz w:val="24"/>
          <w:szCs w:val="24"/>
          <w:lang w:val="en-GB"/>
        </w:rPr>
        <w:t>its executive board members.</w:t>
      </w:r>
      <w:r w:rsidR="00C849BA" w:rsidRPr="00036671">
        <w:rPr>
          <w:vertAlign w:val="superscript"/>
          <w:lang w:val="en-GB"/>
        </w:rPr>
        <w:footnoteReference w:id="4"/>
      </w:r>
    </w:p>
    <w:p w14:paraId="5A1B44F6" w14:textId="349FF58F" w:rsidR="00C1678D" w:rsidRDefault="00BC5570" w:rsidP="00A52979">
      <w:pPr>
        <w:rPr>
          <w:sz w:val="24"/>
          <w:szCs w:val="24"/>
          <w:lang w:val="en-GB"/>
        </w:rPr>
      </w:pPr>
      <w:r>
        <w:rPr>
          <w:sz w:val="24"/>
          <w:szCs w:val="24"/>
          <w:lang w:val="en-GB"/>
        </w:rPr>
        <w:t>Furthermore, i</w:t>
      </w:r>
      <w:r w:rsidR="00BC0CB5" w:rsidRPr="00AA7C7F">
        <w:rPr>
          <w:sz w:val="24"/>
          <w:szCs w:val="24"/>
          <w:lang w:val="en-GB"/>
        </w:rPr>
        <w:t>n stock corporations</w:t>
      </w:r>
      <w:r w:rsidR="00476C87" w:rsidRPr="00AA7C7F">
        <w:rPr>
          <w:sz w:val="24"/>
          <w:szCs w:val="24"/>
          <w:lang w:val="en-GB"/>
        </w:rPr>
        <w:t xml:space="preserve"> (Aktiengesellschaften)</w:t>
      </w:r>
      <w:r w:rsidR="00BC0CB5" w:rsidRPr="00AA7C7F">
        <w:rPr>
          <w:sz w:val="24"/>
          <w:szCs w:val="24"/>
          <w:lang w:val="en-GB"/>
        </w:rPr>
        <w:t xml:space="preserve">, the supervisory board is obliged to bring claims for recourse against members of the </w:t>
      </w:r>
      <w:r w:rsidR="00EA65E4">
        <w:rPr>
          <w:sz w:val="24"/>
          <w:szCs w:val="24"/>
          <w:lang w:val="en-GB"/>
        </w:rPr>
        <w:t>executive</w:t>
      </w:r>
      <w:r w:rsidR="00BC0CB5" w:rsidRPr="00AA7C7F">
        <w:rPr>
          <w:sz w:val="24"/>
          <w:szCs w:val="24"/>
          <w:lang w:val="en-GB"/>
        </w:rPr>
        <w:t xml:space="preserve"> board on behalf of the company if it becomes aware of any breaches.</w:t>
      </w:r>
      <w:r w:rsidR="00BD030B" w:rsidRPr="00036671">
        <w:rPr>
          <w:vertAlign w:val="superscript"/>
          <w:lang w:val="en-GB"/>
        </w:rPr>
        <w:footnoteReference w:id="5"/>
      </w:r>
      <w:r w:rsidR="00BC0CB5" w:rsidRPr="00AA7C7F">
        <w:rPr>
          <w:sz w:val="24"/>
          <w:szCs w:val="24"/>
          <w:lang w:val="en-GB"/>
        </w:rPr>
        <w:t xml:space="preserve"> </w:t>
      </w:r>
      <w:r w:rsidR="000A083F" w:rsidRPr="00AA7C7F">
        <w:rPr>
          <w:sz w:val="24"/>
          <w:szCs w:val="24"/>
          <w:lang w:val="en-GB"/>
        </w:rPr>
        <w:t>I</w:t>
      </w:r>
      <w:r w:rsidR="00641A06" w:rsidRPr="00AA7C7F">
        <w:rPr>
          <w:sz w:val="24"/>
          <w:szCs w:val="24"/>
          <w:lang w:val="en-GB"/>
        </w:rPr>
        <w:t xml:space="preserve">f the </w:t>
      </w:r>
      <w:r w:rsidR="000A083F" w:rsidRPr="00AA7C7F">
        <w:rPr>
          <w:sz w:val="24"/>
          <w:szCs w:val="24"/>
          <w:lang w:val="en-GB"/>
        </w:rPr>
        <w:t>s</w:t>
      </w:r>
      <w:r w:rsidR="00641A06" w:rsidRPr="00AA7C7F">
        <w:rPr>
          <w:sz w:val="24"/>
          <w:szCs w:val="24"/>
          <w:lang w:val="en-GB"/>
        </w:rPr>
        <w:t xml:space="preserve">upervisory </w:t>
      </w:r>
      <w:r w:rsidR="000A083F" w:rsidRPr="00AA7C7F">
        <w:rPr>
          <w:sz w:val="24"/>
          <w:szCs w:val="24"/>
          <w:lang w:val="en-GB"/>
        </w:rPr>
        <w:t>b</w:t>
      </w:r>
      <w:r w:rsidR="00641A06" w:rsidRPr="00AA7C7F">
        <w:rPr>
          <w:sz w:val="24"/>
          <w:szCs w:val="24"/>
          <w:lang w:val="en-GB"/>
        </w:rPr>
        <w:t xml:space="preserve">oard fails to do so, its members – who, like the members of the </w:t>
      </w:r>
      <w:r w:rsidR="00EA65E4">
        <w:rPr>
          <w:sz w:val="24"/>
          <w:szCs w:val="24"/>
          <w:lang w:val="en-GB"/>
        </w:rPr>
        <w:t xml:space="preserve">executive </w:t>
      </w:r>
      <w:r w:rsidR="00A52979" w:rsidRPr="00AA7C7F">
        <w:rPr>
          <w:sz w:val="24"/>
          <w:szCs w:val="24"/>
          <w:lang w:val="en-GB"/>
        </w:rPr>
        <w:t>b</w:t>
      </w:r>
      <w:r w:rsidR="00641A06" w:rsidRPr="00AA7C7F">
        <w:rPr>
          <w:sz w:val="24"/>
          <w:szCs w:val="24"/>
          <w:lang w:val="en-GB"/>
        </w:rPr>
        <w:t xml:space="preserve">oard, are covered under the </w:t>
      </w:r>
      <w:r w:rsidR="00EA65E4">
        <w:rPr>
          <w:sz w:val="24"/>
          <w:szCs w:val="24"/>
          <w:lang w:val="en-GB"/>
        </w:rPr>
        <w:t>‘</w:t>
      </w:r>
      <w:r w:rsidR="00641A06" w:rsidRPr="00AA7C7F">
        <w:rPr>
          <w:sz w:val="24"/>
          <w:szCs w:val="24"/>
          <w:lang w:val="en-GB"/>
        </w:rPr>
        <w:t>Side</w:t>
      </w:r>
      <w:r w:rsidR="00EA65E4">
        <w:rPr>
          <w:sz w:val="24"/>
          <w:szCs w:val="24"/>
          <w:lang w:val="en-GB"/>
        </w:rPr>
        <w:t>’</w:t>
      </w:r>
      <w:r w:rsidR="00641A06" w:rsidRPr="00AA7C7F">
        <w:rPr>
          <w:sz w:val="24"/>
          <w:szCs w:val="24"/>
          <w:lang w:val="en-GB"/>
        </w:rPr>
        <w:t xml:space="preserve"> A D&amp;O insurance policy – may also be held personally liable</w:t>
      </w:r>
      <w:r w:rsidR="00101164">
        <w:rPr>
          <w:sz w:val="24"/>
          <w:szCs w:val="24"/>
          <w:lang w:val="en-GB"/>
        </w:rPr>
        <w:t xml:space="preserve"> to the company</w:t>
      </w:r>
      <w:r w:rsidR="00BC0CB5" w:rsidRPr="00AA7C7F">
        <w:rPr>
          <w:sz w:val="24"/>
          <w:szCs w:val="24"/>
          <w:lang w:val="en-GB"/>
        </w:rPr>
        <w:t>.</w:t>
      </w:r>
      <w:r w:rsidR="00BD030B" w:rsidRPr="00036671">
        <w:rPr>
          <w:vertAlign w:val="superscript"/>
          <w:lang w:val="en-GB"/>
        </w:rPr>
        <w:footnoteReference w:id="6"/>
      </w:r>
      <w:r w:rsidR="00BC0CB5" w:rsidRPr="00AA7C7F">
        <w:rPr>
          <w:sz w:val="24"/>
          <w:szCs w:val="24"/>
          <w:lang w:val="en-GB"/>
        </w:rPr>
        <w:t xml:space="preserve"> </w:t>
      </w:r>
      <w:r w:rsidR="00641A06" w:rsidRPr="00AA7C7F">
        <w:rPr>
          <w:sz w:val="24"/>
          <w:szCs w:val="24"/>
          <w:lang w:val="en-GB"/>
        </w:rPr>
        <w:t>The stock corpo</w:t>
      </w:r>
      <w:r w:rsidR="000A083F" w:rsidRPr="00AA7C7F">
        <w:rPr>
          <w:sz w:val="24"/>
          <w:szCs w:val="24"/>
          <w:lang w:val="en-GB"/>
        </w:rPr>
        <w:t xml:space="preserve">ration may waive claims for compensation </w:t>
      </w:r>
      <w:r w:rsidR="00A52979" w:rsidRPr="00AA7C7F">
        <w:rPr>
          <w:sz w:val="24"/>
          <w:szCs w:val="24"/>
          <w:lang w:val="en-GB"/>
        </w:rPr>
        <w:t>against member</w:t>
      </w:r>
      <w:r w:rsidR="00442E82" w:rsidRPr="00AA7C7F">
        <w:rPr>
          <w:sz w:val="24"/>
          <w:szCs w:val="24"/>
          <w:lang w:val="en-GB"/>
        </w:rPr>
        <w:t>s</w:t>
      </w:r>
      <w:r w:rsidR="00A52979" w:rsidRPr="00AA7C7F">
        <w:rPr>
          <w:sz w:val="24"/>
          <w:szCs w:val="24"/>
          <w:lang w:val="en-GB"/>
        </w:rPr>
        <w:t xml:space="preserve"> of </w:t>
      </w:r>
      <w:r w:rsidR="00442E82" w:rsidRPr="00AA7C7F">
        <w:rPr>
          <w:sz w:val="24"/>
          <w:szCs w:val="24"/>
          <w:lang w:val="en-GB"/>
        </w:rPr>
        <w:t>its</w:t>
      </w:r>
      <w:r w:rsidR="00A52979" w:rsidRPr="00AA7C7F">
        <w:rPr>
          <w:sz w:val="24"/>
          <w:szCs w:val="24"/>
          <w:lang w:val="en-GB"/>
        </w:rPr>
        <w:t xml:space="preserve"> </w:t>
      </w:r>
      <w:r w:rsidR="00EA65E4">
        <w:rPr>
          <w:sz w:val="24"/>
          <w:szCs w:val="24"/>
          <w:lang w:val="en-GB"/>
        </w:rPr>
        <w:t xml:space="preserve">executive </w:t>
      </w:r>
      <w:r w:rsidR="00C849BA">
        <w:rPr>
          <w:sz w:val="24"/>
          <w:szCs w:val="24"/>
          <w:lang w:val="en-GB"/>
        </w:rPr>
        <w:t xml:space="preserve">and/or </w:t>
      </w:r>
      <w:r w:rsidR="00A52979" w:rsidRPr="00AA7C7F">
        <w:rPr>
          <w:sz w:val="24"/>
          <w:szCs w:val="24"/>
          <w:lang w:val="en-GB"/>
        </w:rPr>
        <w:t xml:space="preserve">supervisory board </w:t>
      </w:r>
      <w:r w:rsidR="000A083F" w:rsidRPr="00AA7C7F">
        <w:rPr>
          <w:sz w:val="24"/>
          <w:szCs w:val="24"/>
          <w:lang w:val="en-GB"/>
        </w:rPr>
        <w:t>or settle the</w:t>
      </w:r>
      <w:r w:rsidR="00C849BA">
        <w:rPr>
          <w:sz w:val="24"/>
          <w:szCs w:val="24"/>
          <w:lang w:val="en-GB"/>
        </w:rPr>
        <w:t xml:space="preserve"> claims</w:t>
      </w:r>
      <w:r w:rsidR="000A083F" w:rsidRPr="00AA7C7F">
        <w:rPr>
          <w:sz w:val="24"/>
          <w:szCs w:val="24"/>
          <w:lang w:val="en-GB"/>
        </w:rPr>
        <w:t xml:space="preserve"> only three years after the claim has arisen, and only if t</w:t>
      </w:r>
      <w:r w:rsidR="00BC0CB5" w:rsidRPr="00AA7C7F">
        <w:rPr>
          <w:sz w:val="24"/>
          <w:szCs w:val="24"/>
          <w:lang w:val="en-GB"/>
        </w:rPr>
        <w:t xml:space="preserve">he </w:t>
      </w:r>
      <w:r w:rsidR="000A083F" w:rsidRPr="00AA7C7F">
        <w:rPr>
          <w:sz w:val="24"/>
          <w:szCs w:val="24"/>
          <w:lang w:val="en-GB"/>
        </w:rPr>
        <w:t>g</w:t>
      </w:r>
      <w:r w:rsidR="00BC0CB5" w:rsidRPr="00AA7C7F">
        <w:rPr>
          <w:sz w:val="24"/>
          <w:szCs w:val="24"/>
          <w:lang w:val="en-GB"/>
        </w:rPr>
        <w:t xml:space="preserve">eneral </w:t>
      </w:r>
      <w:r w:rsidR="000A083F" w:rsidRPr="00AA7C7F">
        <w:rPr>
          <w:sz w:val="24"/>
          <w:szCs w:val="24"/>
          <w:lang w:val="en-GB"/>
        </w:rPr>
        <w:t>m</w:t>
      </w:r>
      <w:r w:rsidR="00BC0CB5" w:rsidRPr="00AA7C7F">
        <w:rPr>
          <w:sz w:val="24"/>
          <w:szCs w:val="24"/>
          <w:lang w:val="en-GB"/>
        </w:rPr>
        <w:t xml:space="preserve">eeting </w:t>
      </w:r>
      <w:r w:rsidR="000A083F" w:rsidRPr="00AA7C7F">
        <w:rPr>
          <w:sz w:val="24"/>
          <w:szCs w:val="24"/>
          <w:lang w:val="en-GB"/>
        </w:rPr>
        <w:t>gives its consent and no minority shareholders whose shares together amount to one-tenth of the share capital objects</w:t>
      </w:r>
      <w:r w:rsidR="00BC0CB5" w:rsidRPr="00AA7C7F">
        <w:rPr>
          <w:sz w:val="24"/>
          <w:szCs w:val="24"/>
          <w:lang w:val="en-GB"/>
        </w:rPr>
        <w:t xml:space="preserve"> (</w:t>
      </w:r>
      <w:r w:rsidR="006C7E84" w:rsidRPr="00AA7C7F">
        <w:rPr>
          <w:sz w:val="24"/>
          <w:szCs w:val="24"/>
          <w:lang w:val="en-GB"/>
        </w:rPr>
        <w:t>§</w:t>
      </w:r>
      <w:r w:rsidR="00BC0CB5" w:rsidRPr="00AA7C7F">
        <w:rPr>
          <w:sz w:val="24"/>
          <w:szCs w:val="24"/>
          <w:lang w:val="en-GB"/>
        </w:rPr>
        <w:t xml:space="preserve"> 93</w:t>
      </w:r>
      <w:r w:rsidR="006C7E84" w:rsidRPr="00AA7C7F">
        <w:rPr>
          <w:sz w:val="24"/>
          <w:szCs w:val="24"/>
          <w:lang w:val="en-GB"/>
        </w:rPr>
        <w:t xml:space="preserve"> para </w:t>
      </w:r>
      <w:r w:rsidR="00BC0CB5" w:rsidRPr="00AA7C7F">
        <w:rPr>
          <w:sz w:val="24"/>
          <w:szCs w:val="24"/>
          <w:lang w:val="en-GB"/>
        </w:rPr>
        <w:t>4 sen</w:t>
      </w:r>
      <w:r w:rsidR="00A52979" w:rsidRPr="00AA7C7F">
        <w:rPr>
          <w:sz w:val="24"/>
          <w:szCs w:val="24"/>
          <w:lang w:val="en-GB"/>
        </w:rPr>
        <w:t>t</w:t>
      </w:r>
      <w:r w:rsidR="00BC0CB5" w:rsidRPr="00AA7C7F">
        <w:rPr>
          <w:sz w:val="24"/>
          <w:szCs w:val="24"/>
          <w:lang w:val="en-GB"/>
        </w:rPr>
        <w:t xml:space="preserve"> 3 of the German Stock </w:t>
      </w:r>
      <w:r w:rsidR="00BC0CB5" w:rsidRPr="00AA7C7F">
        <w:rPr>
          <w:sz w:val="24"/>
          <w:szCs w:val="24"/>
          <w:lang w:val="en-GB"/>
        </w:rPr>
        <w:lastRenderedPageBreak/>
        <w:t xml:space="preserve">Corporation Act (AktG)). </w:t>
      </w:r>
      <w:r w:rsidR="00A52979" w:rsidRPr="00AA7C7F">
        <w:rPr>
          <w:sz w:val="24"/>
          <w:szCs w:val="24"/>
          <w:lang w:val="en-GB"/>
        </w:rPr>
        <w:t>Unlike in other legal systems, German law therefore does not permit the ex ante release of board members from liability.</w:t>
      </w:r>
      <w:r w:rsidR="00BD030B" w:rsidRPr="00036671">
        <w:rPr>
          <w:vertAlign w:val="superscript"/>
          <w:lang w:val="en-GB"/>
        </w:rPr>
        <w:footnoteReference w:id="7"/>
      </w:r>
      <w:r w:rsidR="00C1678D">
        <w:rPr>
          <w:sz w:val="24"/>
          <w:szCs w:val="24"/>
          <w:lang w:val="en-GB"/>
        </w:rPr>
        <w:t xml:space="preserve"> </w:t>
      </w:r>
    </w:p>
    <w:p w14:paraId="3D0F8D95" w14:textId="255CE31B" w:rsidR="00C1678D" w:rsidRPr="00C1678D" w:rsidRDefault="00C1678D" w:rsidP="00801EBA">
      <w:pPr>
        <w:rPr>
          <w:sz w:val="24"/>
          <w:szCs w:val="24"/>
          <w:lang w:val="en-GB"/>
        </w:rPr>
      </w:pPr>
      <w:r w:rsidRPr="00C1678D">
        <w:rPr>
          <w:sz w:val="24"/>
          <w:szCs w:val="24"/>
          <w:lang w:val="en-GB"/>
        </w:rPr>
        <w:t>In this context, it should be</w:t>
      </w:r>
      <w:r w:rsidR="00C849BA">
        <w:rPr>
          <w:sz w:val="24"/>
          <w:szCs w:val="24"/>
          <w:lang w:val="en-GB"/>
        </w:rPr>
        <w:t xml:space="preserve"> also</w:t>
      </w:r>
      <w:r w:rsidRPr="00C1678D">
        <w:rPr>
          <w:sz w:val="24"/>
          <w:szCs w:val="24"/>
          <w:lang w:val="en-GB"/>
        </w:rPr>
        <w:t xml:space="preserve"> noted that members of the executive </w:t>
      </w:r>
      <w:r w:rsidR="00101164">
        <w:rPr>
          <w:sz w:val="24"/>
          <w:szCs w:val="24"/>
          <w:lang w:val="en-GB"/>
        </w:rPr>
        <w:t xml:space="preserve">and supervisory </w:t>
      </w:r>
      <w:r w:rsidRPr="00C1678D">
        <w:rPr>
          <w:sz w:val="24"/>
          <w:szCs w:val="24"/>
          <w:lang w:val="en-GB"/>
        </w:rPr>
        <w:t>board are liable for breaches of duty even in cases of simple negligence</w:t>
      </w:r>
      <w:r w:rsidR="00801EBA" w:rsidRPr="00036671">
        <w:rPr>
          <w:vertAlign w:val="superscript"/>
          <w:lang w:val="en-GB"/>
        </w:rPr>
        <w:footnoteReference w:id="8"/>
      </w:r>
      <w:r w:rsidRPr="00C1678D">
        <w:rPr>
          <w:sz w:val="24"/>
          <w:szCs w:val="24"/>
          <w:lang w:val="en-GB"/>
        </w:rPr>
        <w:t xml:space="preserve"> </w:t>
      </w:r>
      <w:r w:rsidR="00C849BA">
        <w:rPr>
          <w:sz w:val="24"/>
          <w:szCs w:val="24"/>
          <w:lang w:val="en-GB"/>
        </w:rPr>
        <w:t>and that t</w:t>
      </w:r>
      <w:r w:rsidRPr="00C1678D">
        <w:rPr>
          <w:sz w:val="24"/>
          <w:szCs w:val="24"/>
          <w:lang w:val="en-GB"/>
        </w:rPr>
        <w:t>here is no statutory limit on liability. Claims are only time-barred after five years</w:t>
      </w:r>
      <w:r w:rsidR="00801EBA">
        <w:rPr>
          <w:sz w:val="24"/>
          <w:szCs w:val="24"/>
          <w:lang w:val="en-GB"/>
        </w:rPr>
        <w:t xml:space="preserve"> (§ 93 para 6 AktG, § 43 para 4 of the German Private Limited Company Act (GmbHG), § 34 para 6 of the Co-operative Act (GenG)</w:t>
      </w:r>
      <w:r w:rsidRPr="00C1678D">
        <w:rPr>
          <w:sz w:val="24"/>
          <w:szCs w:val="24"/>
          <w:lang w:val="en-GB"/>
        </w:rPr>
        <w:t xml:space="preserve">; for </w:t>
      </w:r>
      <w:r w:rsidR="00801EBA" w:rsidRPr="00801EBA">
        <w:rPr>
          <w:sz w:val="24"/>
          <w:szCs w:val="24"/>
          <w:lang w:val="en-GB"/>
        </w:rPr>
        <w:t>stock corporations</w:t>
      </w:r>
      <w:r w:rsidRPr="00C1678D">
        <w:rPr>
          <w:sz w:val="24"/>
          <w:szCs w:val="24"/>
          <w:lang w:val="en-GB"/>
        </w:rPr>
        <w:t>, the limitation period is even ten years</w:t>
      </w:r>
      <w:r w:rsidR="00801EBA" w:rsidRPr="00801EBA">
        <w:rPr>
          <w:sz w:val="24"/>
          <w:szCs w:val="24"/>
          <w:lang w:val="en-GB"/>
        </w:rPr>
        <w:t xml:space="preserve"> (§ 93 para 6 AktG)</w:t>
      </w:r>
      <w:r w:rsidRPr="00C1678D">
        <w:rPr>
          <w:sz w:val="24"/>
          <w:szCs w:val="24"/>
          <w:lang w:val="en-GB"/>
        </w:rPr>
        <w:t>.</w:t>
      </w:r>
    </w:p>
    <w:p w14:paraId="2F972FDC" w14:textId="15578A47" w:rsidR="00BC0CB5" w:rsidRPr="00AA7C7F" w:rsidRDefault="000A083F" w:rsidP="00BC0CB5">
      <w:pPr>
        <w:rPr>
          <w:sz w:val="24"/>
          <w:szCs w:val="24"/>
          <w:lang w:val="en-GB"/>
        </w:rPr>
      </w:pPr>
      <w:r w:rsidRPr="00AA7C7F">
        <w:rPr>
          <w:sz w:val="24"/>
          <w:szCs w:val="24"/>
          <w:lang w:val="en-GB"/>
        </w:rPr>
        <w:t>For all these reasons, more than 90% of legal actions brought against members of the executive or supervisory board in Germany are not brought by third parties but by the company itself (or its insolvency administrator)</w:t>
      </w:r>
      <w:r w:rsidR="00101164">
        <w:rPr>
          <w:sz w:val="24"/>
          <w:szCs w:val="24"/>
          <w:lang w:val="en-GB"/>
        </w:rPr>
        <w:t xml:space="preserve">. </w:t>
      </w:r>
      <w:r w:rsidR="00101164" w:rsidRPr="00101164">
        <w:rPr>
          <w:sz w:val="24"/>
          <w:szCs w:val="24"/>
          <w:lang w:val="en-GB"/>
        </w:rPr>
        <w:t>This explains why, in Germany, when it comes to D&amp;O insurance, there is primarily a need for ‘Side A’ cover to protect the personal assets of board members, rather than for ‘Side B’ cover</w:t>
      </w:r>
      <w:r w:rsidRPr="00AA7C7F">
        <w:rPr>
          <w:sz w:val="24"/>
          <w:szCs w:val="24"/>
          <w:lang w:val="en-GB"/>
        </w:rPr>
        <w:t>.</w:t>
      </w:r>
      <w:r w:rsidR="00D65AA3" w:rsidRPr="00AA7C7F">
        <w:rPr>
          <w:sz w:val="24"/>
          <w:szCs w:val="24"/>
          <w:lang w:val="en-GB"/>
        </w:rPr>
        <w:t xml:space="preserve"> </w:t>
      </w:r>
      <w:r w:rsidR="00DB3FE3" w:rsidRPr="00DB3FE3">
        <w:rPr>
          <w:sz w:val="24"/>
          <w:szCs w:val="24"/>
          <w:lang w:val="en-GB"/>
        </w:rPr>
        <w:t>However, a ‘Side B’ clause is included in almost all policies.</w:t>
      </w:r>
      <w:r w:rsidR="00BD030B" w:rsidRPr="00036671">
        <w:rPr>
          <w:vertAlign w:val="superscript"/>
          <w:lang w:val="en-GB"/>
        </w:rPr>
        <w:footnoteReference w:id="9"/>
      </w:r>
      <w:r w:rsidR="00DB3FE3" w:rsidRPr="00DB3FE3">
        <w:rPr>
          <w:sz w:val="24"/>
          <w:szCs w:val="24"/>
          <w:lang w:val="en-GB"/>
        </w:rPr>
        <w:t xml:space="preserve"> In contrast, ‘Side C’ cover, which protects the company’s assets against third-party claims for damages, particularly in connection with allegations under capital markets law or prospectus liability, is not always included.</w:t>
      </w:r>
      <w:r w:rsidR="00BD030B" w:rsidRPr="00036671">
        <w:rPr>
          <w:vertAlign w:val="superscript"/>
          <w:lang w:val="en-GB"/>
        </w:rPr>
        <w:footnoteReference w:id="10"/>
      </w:r>
      <w:r w:rsidR="00DB3FE3" w:rsidRPr="00DB3FE3">
        <w:rPr>
          <w:sz w:val="24"/>
          <w:szCs w:val="24"/>
          <w:lang w:val="en-GB"/>
        </w:rPr>
        <w:t xml:space="preserve"> </w:t>
      </w:r>
      <w:r w:rsidR="00EA65E4">
        <w:rPr>
          <w:sz w:val="24"/>
          <w:szCs w:val="24"/>
          <w:lang w:val="en-GB"/>
        </w:rPr>
        <w:t>T</w:t>
      </w:r>
      <w:r w:rsidR="00DB3FE3" w:rsidRPr="00DB3FE3">
        <w:rPr>
          <w:sz w:val="24"/>
          <w:szCs w:val="24"/>
          <w:lang w:val="en-GB"/>
        </w:rPr>
        <w:t xml:space="preserve">here is no </w:t>
      </w:r>
      <w:r w:rsidR="00EA65E4">
        <w:rPr>
          <w:sz w:val="24"/>
          <w:szCs w:val="24"/>
          <w:lang w:val="en-GB"/>
        </w:rPr>
        <w:t xml:space="preserve">published German </w:t>
      </w:r>
      <w:r w:rsidR="00DB3FE3" w:rsidRPr="00DB3FE3">
        <w:rPr>
          <w:sz w:val="24"/>
          <w:szCs w:val="24"/>
          <w:lang w:val="en-GB"/>
        </w:rPr>
        <w:t xml:space="preserve">case law </w:t>
      </w:r>
      <w:r w:rsidR="00893D90" w:rsidRPr="00893D90">
        <w:rPr>
          <w:sz w:val="24"/>
          <w:szCs w:val="24"/>
          <w:lang w:val="en-GB"/>
        </w:rPr>
        <w:t xml:space="preserve">on disputes concerning insurance cover </w:t>
      </w:r>
      <w:r w:rsidR="00DB3FE3" w:rsidRPr="00DB3FE3">
        <w:rPr>
          <w:sz w:val="24"/>
          <w:szCs w:val="24"/>
          <w:lang w:val="en-GB"/>
        </w:rPr>
        <w:t>on ‘Side B’ and ‘Side C’</w:t>
      </w:r>
      <w:r w:rsidR="00893D90">
        <w:rPr>
          <w:sz w:val="24"/>
          <w:szCs w:val="24"/>
          <w:lang w:val="en-GB"/>
        </w:rPr>
        <w:t>.</w:t>
      </w:r>
    </w:p>
    <w:p w14:paraId="4CAC72AC" w14:textId="3765C93D" w:rsidR="006C7E84" w:rsidRPr="00AA7C7F" w:rsidRDefault="0088775C" w:rsidP="006C7E84">
      <w:pPr>
        <w:tabs>
          <w:tab w:val="left" w:pos="426"/>
        </w:tabs>
        <w:rPr>
          <w:sz w:val="24"/>
          <w:szCs w:val="24"/>
          <w:lang w:val="en-GB"/>
        </w:rPr>
      </w:pPr>
      <w:r w:rsidRPr="00AA7C7F">
        <w:rPr>
          <w:b/>
          <w:bCs/>
          <w:sz w:val="24"/>
          <w:szCs w:val="24"/>
          <w:lang w:val="en-US"/>
        </w:rPr>
        <w:t>B</w:t>
      </w:r>
      <w:r w:rsidR="006C7E84" w:rsidRPr="00AA7C7F">
        <w:rPr>
          <w:b/>
          <w:bCs/>
          <w:sz w:val="24"/>
          <w:szCs w:val="24"/>
          <w:lang w:val="en-US"/>
        </w:rPr>
        <w:t>.</w:t>
      </w:r>
      <w:r w:rsidR="006C7E84" w:rsidRPr="00AA7C7F">
        <w:rPr>
          <w:b/>
          <w:bCs/>
          <w:sz w:val="24"/>
          <w:szCs w:val="24"/>
          <w:lang w:val="en-US"/>
        </w:rPr>
        <w:tab/>
        <w:t xml:space="preserve">Assignment of the D&amp;O`s </w:t>
      </w:r>
      <w:r w:rsidR="008F3CB2" w:rsidRPr="00AA7C7F">
        <w:rPr>
          <w:b/>
          <w:bCs/>
          <w:sz w:val="24"/>
          <w:szCs w:val="24"/>
          <w:lang w:val="en-US"/>
        </w:rPr>
        <w:t>Claim</w:t>
      </w:r>
      <w:r w:rsidR="006C7E84" w:rsidRPr="00AA7C7F">
        <w:rPr>
          <w:b/>
          <w:bCs/>
          <w:sz w:val="24"/>
          <w:szCs w:val="24"/>
          <w:lang w:val="en-US"/>
        </w:rPr>
        <w:t xml:space="preserve"> </w:t>
      </w:r>
      <w:r w:rsidR="008F3CB2" w:rsidRPr="00AA7C7F">
        <w:rPr>
          <w:b/>
          <w:bCs/>
          <w:sz w:val="24"/>
          <w:szCs w:val="24"/>
          <w:lang w:val="en-US"/>
        </w:rPr>
        <w:t>for</w:t>
      </w:r>
      <w:r w:rsidR="006C7E84" w:rsidRPr="00AA7C7F">
        <w:rPr>
          <w:b/>
          <w:bCs/>
          <w:sz w:val="24"/>
          <w:szCs w:val="24"/>
          <w:lang w:val="en-US"/>
        </w:rPr>
        <w:t xml:space="preserve"> Indemnification to the Company/Policyholder</w:t>
      </w:r>
    </w:p>
    <w:p w14:paraId="515717BA" w14:textId="51D15FE0" w:rsidR="00AD4DB0" w:rsidRPr="00AA7C7F" w:rsidRDefault="0088775C" w:rsidP="008F3CB2">
      <w:pPr>
        <w:tabs>
          <w:tab w:val="left" w:pos="426"/>
        </w:tabs>
        <w:rPr>
          <w:b/>
          <w:sz w:val="24"/>
          <w:szCs w:val="24"/>
          <w:lang w:val="en-GB"/>
        </w:rPr>
      </w:pPr>
      <w:r w:rsidRPr="00AA7C7F">
        <w:rPr>
          <w:b/>
          <w:sz w:val="24"/>
          <w:szCs w:val="24"/>
          <w:lang w:val="en-GB"/>
        </w:rPr>
        <w:t>I</w:t>
      </w:r>
      <w:r w:rsidR="00AD4DB0" w:rsidRPr="00AA7C7F">
        <w:rPr>
          <w:b/>
          <w:sz w:val="24"/>
          <w:szCs w:val="24"/>
          <w:lang w:val="en-GB"/>
        </w:rPr>
        <w:t>.</w:t>
      </w:r>
      <w:r w:rsidR="008F3CB2" w:rsidRPr="00AA7C7F">
        <w:rPr>
          <w:b/>
          <w:sz w:val="24"/>
          <w:szCs w:val="24"/>
          <w:lang w:val="en-GB"/>
        </w:rPr>
        <w:tab/>
        <w:t>Conversion of the Claim for Indemnification into a Claim for Payment</w:t>
      </w:r>
    </w:p>
    <w:p w14:paraId="63E1E834" w14:textId="36B0A109" w:rsidR="006C52B2" w:rsidRPr="00AA7C7F" w:rsidRDefault="006C52B2" w:rsidP="00A52463">
      <w:pPr>
        <w:rPr>
          <w:sz w:val="24"/>
          <w:szCs w:val="24"/>
          <w:lang w:val="en-GB"/>
        </w:rPr>
      </w:pPr>
      <w:r w:rsidRPr="00AA7C7F">
        <w:rPr>
          <w:sz w:val="24"/>
          <w:szCs w:val="24"/>
          <w:lang w:val="en-GB"/>
        </w:rPr>
        <w:t xml:space="preserve">If, after assessing the company’s claim for damages against </w:t>
      </w:r>
      <w:r w:rsidR="00893D90">
        <w:rPr>
          <w:sz w:val="24"/>
          <w:szCs w:val="24"/>
          <w:lang w:val="en-GB"/>
        </w:rPr>
        <w:t>board members</w:t>
      </w:r>
      <w:r w:rsidRPr="00AA7C7F">
        <w:rPr>
          <w:sz w:val="24"/>
          <w:szCs w:val="24"/>
          <w:lang w:val="en-GB"/>
        </w:rPr>
        <w:t xml:space="preserve">, the insurer rejects the claim </w:t>
      </w:r>
      <w:r w:rsidR="00CD4463" w:rsidRPr="00AA7C7F">
        <w:rPr>
          <w:sz w:val="24"/>
          <w:szCs w:val="24"/>
          <w:lang w:val="en-GB"/>
        </w:rPr>
        <w:t xml:space="preserve">for damages </w:t>
      </w:r>
      <w:r w:rsidRPr="00AA7C7F">
        <w:rPr>
          <w:sz w:val="24"/>
          <w:szCs w:val="24"/>
          <w:lang w:val="en-GB"/>
        </w:rPr>
        <w:t>as unfounded</w:t>
      </w:r>
      <w:r w:rsidR="00CD4463" w:rsidRPr="00AA7C7F">
        <w:rPr>
          <w:sz w:val="24"/>
          <w:szCs w:val="24"/>
          <w:lang w:val="en-GB"/>
        </w:rPr>
        <w:t xml:space="preserve"> and/or </w:t>
      </w:r>
      <w:r w:rsidR="003E633F" w:rsidRPr="00AA7C7F">
        <w:rPr>
          <w:sz w:val="24"/>
          <w:szCs w:val="24"/>
          <w:lang w:val="en-GB"/>
        </w:rPr>
        <w:t xml:space="preserve">denies </w:t>
      </w:r>
      <w:r w:rsidR="00CD4463" w:rsidRPr="00AA7C7F">
        <w:rPr>
          <w:sz w:val="24"/>
          <w:szCs w:val="24"/>
          <w:lang w:val="en-GB"/>
        </w:rPr>
        <w:t>cover</w:t>
      </w:r>
      <w:r w:rsidRPr="00AA7C7F">
        <w:rPr>
          <w:sz w:val="24"/>
          <w:szCs w:val="24"/>
          <w:lang w:val="en-GB"/>
        </w:rPr>
        <w:t xml:space="preserve">, companies are often reluctant to take their </w:t>
      </w:r>
      <w:r w:rsidR="00893D90">
        <w:rPr>
          <w:sz w:val="24"/>
          <w:szCs w:val="24"/>
          <w:lang w:val="en-GB"/>
        </w:rPr>
        <w:t>board member</w:t>
      </w:r>
      <w:r w:rsidRPr="00AA7C7F">
        <w:rPr>
          <w:sz w:val="24"/>
          <w:szCs w:val="24"/>
          <w:lang w:val="en-GB"/>
        </w:rPr>
        <w:t xml:space="preserve">s to court, even if the </w:t>
      </w:r>
      <w:r w:rsidR="00A2045E" w:rsidRPr="00AA7C7F">
        <w:rPr>
          <w:sz w:val="24"/>
          <w:szCs w:val="24"/>
          <w:lang w:val="en-GB"/>
        </w:rPr>
        <w:t xml:space="preserve">latter </w:t>
      </w:r>
      <w:r w:rsidRPr="00AA7C7F">
        <w:rPr>
          <w:sz w:val="24"/>
          <w:szCs w:val="24"/>
          <w:lang w:val="en-GB"/>
        </w:rPr>
        <w:t xml:space="preserve">have already left the company. </w:t>
      </w:r>
      <w:r w:rsidR="000B095B" w:rsidRPr="000B095B">
        <w:rPr>
          <w:sz w:val="24"/>
          <w:szCs w:val="24"/>
          <w:lang w:val="en-GB"/>
        </w:rPr>
        <w:t>In order to avoid legal proceedings against the (former) board member</w:t>
      </w:r>
      <w:r w:rsidR="004948C5">
        <w:rPr>
          <w:sz w:val="24"/>
          <w:szCs w:val="24"/>
          <w:lang w:val="en-GB"/>
        </w:rPr>
        <w:t>s</w:t>
      </w:r>
      <w:r w:rsidR="000B095B" w:rsidRPr="000B095B">
        <w:rPr>
          <w:sz w:val="24"/>
          <w:szCs w:val="24"/>
          <w:lang w:val="en-GB"/>
        </w:rPr>
        <w:t xml:space="preserve">, both the company and the </w:t>
      </w:r>
      <w:r w:rsidR="004948C5">
        <w:rPr>
          <w:sz w:val="24"/>
          <w:szCs w:val="24"/>
          <w:lang w:val="en-GB"/>
        </w:rPr>
        <w:t xml:space="preserve">(former) </w:t>
      </w:r>
      <w:r w:rsidR="000B095B" w:rsidRPr="000B095B">
        <w:rPr>
          <w:sz w:val="24"/>
          <w:szCs w:val="24"/>
          <w:lang w:val="en-GB"/>
        </w:rPr>
        <w:t>board member</w:t>
      </w:r>
      <w:r w:rsidR="004948C5">
        <w:rPr>
          <w:sz w:val="24"/>
          <w:szCs w:val="24"/>
          <w:lang w:val="en-GB"/>
        </w:rPr>
        <w:t>s</w:t>
      </w:r>
      <w:r w:rsidR="000B095B" w:rsidRPr="000B095B">
        <w:rPr>
          <w:sz w:val="24"/>
          <w:szCs w:val="24"/>
          <w:lang w:val="en-GB"/>
        </w:rPr>
        <w:t xml:space="preserve"> wish for the company to take legal action directly against the insurer.</w:t>
      </w:r>
      <w:r w:rsidR="000B095B">
        <w:rPr>
          <w:sz w:val="24"/>
          <w:szCs w:val="24"/>
          <w:lang w:val="en-GB"/>
        </w:rPr>
        <w:t xml:space="preserve"> </w:t>
      </w:r>
      <w:r w:rsidR="00BD030B">
        <w:rPr>
          <w:sz w:val="24"/>
          <w:szCs w:val="24"/>
          <w:lang w:val="en-GB"/>
        </w:rPr>
        <w:t>H</w:t>
      </w:r>
      <w:r w:rsidRPr="00AA7C7F">
        <w:rPr>
          <w:sz w:val="24"/>
          <w:szCs w:val="24"/>
          <w:lang w:val="en-GB"/>
        </w:rPr>
        <w:t xml:space="preserve">owever, </w:t>
      </w:r>
      <w:r w:rsidR="000B095B" w:rsidRPr="000B095B">
        <w:rPr>
          <w:sz w:val="24"/>
          <w:szCs w:val="24"/>
          <w:lang w:val="en-GB"/>
        </w:rPr>
        <w:t xml:space="preserve">a direct claim </w:t>
      </w:r>
      <w:r w:rsidR="00AE4676">
        <w:rPr>
          <w:sz w:val="24"/>
          <w:szCs w:val="24"/>
          <w:lang w:val="en-GB"/>
        </w:rPr>
        <w:t xml:space="preserve">under non-compulsory liability insurance is </w:t>
      </w:r>
      <w:r w:rsidR="000B095B" w:rsidRPr="000B095B">
        <w:rPr>
          <w:sz w:val="24"/>
          <w:szCs w:val="24"/>
          <w:lang w:val="en-GB"/>
        </w:rPr>
        <w:t xml:space="preserve">only admissible </w:t>
      </w:r>
      <w:r w:rsidRPr="00AA7C7F">
        <w:rPr>
          <w:sz w:val="24"/>
          <w:szCs w:val="24"/>
          <w:lang w:val="en-GB"/>
        </w:rPr>
        <w:t xml:space="preserve">once the </w:t>
      </w:r>
      <w:r w:rsidR="004948C5">
        <w:rPr>
          <w:sz w:val="24"/>
          <w:szCs w:val="24"/>
          <w:lang w:val="en-GB"/>
        </w:rPr>
        <w:t xml:space="preserve">(former) </w:t>
      </w:r>
      <w:r w:rsidR="00893D90">
        <w:rPr>
          <w:sz w:val="24"/>
          <w:szCs w:val="24"/>
          <w:lang w:val="en-GB"/>
        </w:rPr>
        <w:t>board member</w:t>
      </w:r>
      <w:r w:rsidR="004948C5">
        <w:rPr>
          <w:sz w:val="24"/>
          <w:szCs w:val="24"/>
          <w:lang w:val="en-GB"/>
        </w:rPr>
        <w:t>s</w:t>
      </w:r>
      <w:r w:rsidRPr="00AA7C7F">
        <w:rPr>
          <w:sz w:val="24"/>
          <w:szCs w:val="24"/>
          <w:lang w:val="en-GB"/>
        </w:rPr>
        <w:t xml:space="preserve"> ha</w:t>
      </w:r>
      <w:r w:rsidR="004948C5">
        <w:rPr>
          <w:sz w:val="24"/>
          <w:szCs w:val="24"/>
          <w:lang w:val="en-GB"/>
        </w:rPr>
        <w:t>ve</w:t>
      </w:r>
      <w:r w:rsidRPr="00AA7C7F">
        <w:rPr>
          <w:sz w:val="24"/>
          <w:szCs w:val="24"/>
          <w:lang w:val="en-GB"/>
        </w:rPr>
        <w:t xml:space="preserve"> assigned </w:t>
      </w:r>
      <w:r w:rsidR="004948C5">
        <w:rPr>
          <w:sz w:val="24"/>
          <w:szCs w:val="24"/>
          <w:lang w:val="en-GB"/>
        </w:rPr>
        <w:t>the</w:t>
      </w:r>
      <w:r w:rsidRPr="00AA7C7F">
        <w:rPr>
          <w:sz w:val="24"/>
          <w:szCs w:val="24"/>
          <w:lang w:val="en-GB"/>
        </w:rPr>
        <w:t xml:space="preserve"> claim for </w:t>
      </w:r>
      <w:r w:rsidR="003E633F" w:rsidRPr="00AA7C7F">
        <w:rPr>
          <w:sz w:val="24"/>
          <w:szCs w:val="24"/>
          <w:lang w:val="en-GB"/>
        </w:rPr>
        <w:t xml:space="preserve">indemnification </w:t>
      </w:r>
      <w:r w:rsidRPr="00AA7C7F">
        <w:rPr>
          <w:sz w:val="24"/>
          <w:szCs w:val="24"/>
          <w:lang w:val="en-GB"/>
        </w:rPr>
        <w:t xml:space="preserve">against the insurer to </w:t>
      </w:r>
      <w:r w:rsidR="004948C5">
        <w:rPr>
          <w:sz w:val="24"/>
          <w:szCs w:val="24"/>
          <w:lang w:val="en-GB"/>
        </w:rPr>
        <w:t>their</w:t>
      </w:r>
      <w:r w:rsidRPr="00AA7C7F">
        <w:rPr>
          <w:sz w:val="24"/>
          <w:szCs w:val="24"/>
          <w:lang w:val="en-GB"/>
        </w:rPr>
        <w:t xml:space="preserve"> company.</w:t>
      </w:r>
      <w:r w:rsidR="003E633F" w:rsidRPr="00AA7C7F">
        <w:rPr>
          <w:sz w:val="24"/>
          <w:szCs w:val="24"/>
          <w:lang w:val="en-GB"/>
        </w:rPr>
        <w:t xml:space="preserve"> </w:t>
      </w:r>
      <w:r w:rsidR="000B095B" w:rsidRPr="000B095B">
        <w:rPr>
          <w:sz w:val="24"/>
          <w:szCs w:val="24"/>
          <w:lang w:val="en-GB"/>
        </w:rPr>
        <w:t>As a result of the assignment, the board members</w:t>
      </w:r>
      <w:r w:rsidR="004948C5">
        <w:rPr>
          <w:sz w:val="24"/>
          <w:szCs w:val="24"/>
          <w:lang w:val="en-GB"/>
        </w:rPr>
        <w:t>’</w:t>
      </w:r>
      <w:r w:rsidR="000B095B" w:rsidRPr="000B095B">
        <w:rPr>
          <w:sz w:val="24"/>
          <w:szCs w:val="24"/>
          <w:lang w:val="en-GB"/>
        </w:rPr>
        <w:t xml:space="preserve"> claim for </w:t>
      </w:r>
      <w:r w:rsidR="000B095B">
        <w:rPr>
          <w:sz w:val="24"/>
          <w:szCs w:val="24"/>
          <w:lang w:val="en-GB"/>
        </w:rPr>
        <w:t xml:space="preserve">indemnification </w:t>
      </w:r>
      <w:r w:rsidR="000B095B" w:rsidRPr="000B095B">
        <w:rPr>
          <w:sz w:val="24"/>
          <w:szCs w:val="24"/>
          <w:lang w:val="en-GB"/>
        </w:rPr>
        <w:t xml:space="preserve">against the insurer is converted by operation of law into a claim by the company </w:t>
      </w:r>
      <w:r w:rsidR="00A52463" w:rsidRPr="00AA7C7F">
        <w:rPr>
          <w:sz w:val="24"/>
          <w:szCs w:val="24"/>
          <w:lang w:val="en-GB"/>
        </w:rPr>
        <w:t xml:space="preserve">for </w:t>
      </w:r>
      <w:r w:rsidR="000B095B">
        <w:rPr>
          <w:sz w:val="24"/>
          <w:szCs w:val="24"/>
          <w:lang w:val="en-GB"/>
        </w:rPr>
        <w:t>payment</w:t>
      </w:r>
      <w:r w:rsidR="00A52463" w:rsidRPr="00AA7C7F">
        <w:rPr>
          <w:sz w:val="24"/>
          <w:szCs w:val="24"/>
          <w:lang w:val="en-GB"/>
        </w:rPr>
        <w:t xml:space="preserve"> </w:t>
      </w:r>
      <w:r w:rsidR="002522D5" w:rsidRPr="002522D5">
        <w:rPr>
          <w:sz w:val="24"/>
          <w:szCs w:val="24"/>
          <w:lang w:val="en-GB"/>
        </w:rPr>
        <w:t>against the insurer</w:t>
      </w:r>
      <w:r w:rsidR="00A52463">
        <w:rPr>
          <w:sz w:val="24"/>
          <w:szCs w:val="24"/>
          <w:lang w:val="en-GB"/>
        </w:rPr>
        <w:t>,</w:t>
      </w:r>
      <w:r w:rsidR="00A2045E" w:rsidRPr="00AA7C7F">
        <w:rPr>
          <w:sz w:val="24"/>
          <w:szCs w:val="24"/>
          <w:lang w:val="en-GB"/>
        </w:rPr>
        <w:t xml:space="preserve"> </w:t>
      </w:r>
      <w:r w:rsidR="006553ED" w:rsidRPr="006553ED">
        <w:rPr>
          <w:sz w:val="24"/>
          <w:szCs w:val="24"/>
          <w:lang w:val="en-GB"/>
        </w:rPr>
        <w:t>provided that the board member</w:t>
      </w:r>
      <w:r w:rsidR="004948C5">
        <w:rPr>
          <w:sz w:val="24"/>
          <w:szCs w:val="24"/>
          <w:lang w:val="en-GB"/>
        </w:rPr>
        <w:t>s are</w:t>
      </w:r>
      <w:r w:rsidR="006553ED" w:rsidRPr="006553ED">
        <w:rPr>
          <w:sz w:val="24"/>
          <w:szCs w:val="24"/>
          <w:lang w:val="en-GB"/>
        </w:rPr>
        <w:t xml:space="preserve"> liable to the company and ha</w:t>
      </w:r>
      <w:r w:rsidR="004948C5">
        <w:rPr>
          <w:sz w:val="24"/>
          <w:szCs w:val="24"/>
          <w:lang w:val="en-GB"/>
        </w:rPr>
        <w:t>ve</w:t>
      </w:r>
      <w:r w:rsidR="006553ED" w:rsidRPr="006553ED">
        <w:rPr>
          <w:sz w:val="24"/>
          <w:szCs w:val="24"/>
          <w:lang w:val="en-GB"/>
        </w:rPr>
        <w:t xml:space="preserve"> a right to cover against the insurer</w:t>
      </w:r>
      <w:r w:rsidR="006553ED">
        <w:rPr>
          <w:sz w:val="24"/>
          <w:szCs w:val="24"/>
          <w:lang w:val="en-GB"/>
        </w:rPr>
        <w:t xml:space="preserve">. </w:t>
      </w:r>
      <w:r w:rsidR="006553ED" w:rsidRPr="006553ED">
        <w:rPr>
          <w:sz w:val="24"/>
          <w:szCs w:val="24"/>
          <w:lang w:val="en-GB"/>
        </w:rPr>
        <w:t xml:space="preserve">If the insurer refuses to pay, the </w:t>
      </w:r>
      <w:r w:rsidR="006553ED" w:rsidRPr="006553ED">
        <w:rPr>
          <w:sz w:val="24"/>
          <w:szCs w:val="24"/>
          <w:lang w:val="en-GB"/>
        </w:rPr>
        <w:lastRenderedPageBreak/>
        <w:t>court must rule both on the liability of the board member</w:t>
      </w:r>
      <w:r w:rsidR="004948C5">
        <w:rPr>
          <w:sz w:val="24"/>
          <w:szCs w:val="24"/>
          <w:lang w:val="en-GB"/>
        </w:rPr>
        <w:t>s</w:t>
      </w:r>
      <w:r w:rsidR="006553ED" w:rsidRPr="006553ED">
        <w:rPr>
          <w:sz w:val="24"/>
          <w:szCs w:val="24"/>
          <w:lang w:val="en-GB"/>
        </w:rPr>
        <w:t xml:space="preserve"> and on the existence of insurance cover</w:t>
      </w:r>
      <w:r w:rsidR="00A2045E" w:rsidRPr="00AA7C7F">
        <w:rPr>
          <w:sz w:val="24"/>
          <w:szCs w:val="24"/>
          <w:lang w:val="en-GB"/>
        </w:rPr>
        <w:t>.</w:t>
      </w:r>
      <w:r w:rsidR="00BD030B" w:rsidRPr="00036671">
        <w:rPr>
          <w:vertAlign w:val="superscript"/>
          <w:lang w:val="en-GB"/>
        </w:rPr>
        <w:footnoteReference w:id="11"/>
      </w:r>
    </w:p>
    <w:p w14:paraId="3ACD7028" w14:textId="15BC52DF" w:rsidR="00CD4463" w:rsidRPr="00AA7C7F" w:rsidRDefault="006C7E84" w:rsidP="006C52B2">
      <w:pPr>
        <w:rPr>
          <w:sz w:val="24"/>
          <w:szCs w:val="24"/>
          <w:lang w:val="en-GB"/>
        </w:rPr>
      </w:pPr>
      <w:r w:rsidRPr="00AA7C7F">
        <w:rPr>
          <w:sz w:val="24"/>
          <w:szCs w:val="24"/>
          <w:lang w:val="en-GB"/>
        </w:rPr>
        <w:t xml:space="preserve">Under the German Insurance Contract Act (VVG), </w:t>
      </w:r>
      <w:r w:rsidR="00A554DE" w:rsidRPr="00AA7C7F">
        <w:rPr>
          <w:sz w:val="24"/>
          <w:szCs w:val="24"/>
          <w:lang w:val="en-GB"/>
        </w:rPr>
        <w:t xml:space="preserve">the claim </w:t>
      </w:r>
      <w:r w:rsidRPr="00AA7C7F">
        <w:rPr>
          <w:sz w:val="24"/>
          <w:szCs w:val="24"/>
          <w:lang w:val="en-GB"/>
        </w:rPr>
        <w:t xml:space="preserve">for indemnification </w:t>
      </w:r>
      <w:r w:rsidR="00D4634C">
        <w:rPr>
          <w:sz w:val="24"/>
          <w:szCs w:val="24"/>
          <w:lang w:val="en-GB"/>
        </w:rPr>
        <w:t>by</w:t>
      </w:r>
      <w:r w:rsidR="00CB324C">
        <w:rPr>
          <w:sz w:val="24"/>
          <w:szCs w:val="24"/>
          <w:lang w:val="en-GB"/>
        </w:rPr>
        <w:t xml:space="preserve"> the </w:t>
      </w:r>
      <w:r w:rsidR="000C67A7">
        <w:rPr>
          <w:sz w:val="24"/>
          <w:szCs w:val="24"/>
          <w:lang w:val="en-GB"/>
        </w:rPr>
        <w:t>(</w:t>
      </w:r>
      <w:r w:rsidR="00CB324C">
        <w:rPr>
          <w:sz w:val="24"/>
          <w:szCs w:val="24"/>
          <w:lang w:val="en-GB"/>
        </w:rPr>
        <w:t>co-</w:t>
      </w:r>
      <w:r w:rsidR="000C67A7">
        <w:rPr>
          <w:sz w:val="24"/>
          <w:szCs w:val="24"/>
          <w:lang w:val="en-GB"/>
        </w:rPr>
        <w:t>)</w:t>
      </w:r>
      <w:r w:rsidR="00CB324C">
        <w:rPr>
          <w:sz w:val="24"/>
          <w:szCs w:val="24"/>
          <w:lang w:val="en-GB"/>
        </w:rPr>
        <w:t xml:space="preserve">insureds </w:t>
      </w:r>
      <w:r w:rsidRPr="00AA7C7F">
        <w:rPr>
          <w:sz w:val="24"/>
          <w:szCs w:val="24"/>
          <w:lang w:val="en-GB"/>
        </w:rPr>
        <w:t xml:space="preserve">against the insurer </w:t>
      </w:r>
      <w:r w:rsidR="00A554DE" w:rsidRPr="00AA7C7F">
        <w:rPr>
          <w:sz w:val="24"/>
          <w:szCs w:val="24"/>
          <w:lang w:val="en-GB"/>
        </w:rPr>
        <w:t>may only be assigned to the third party who has suffered the loss</w:t>
      </w:r>
      <w:r w:rsidR="004345E4" w:rsidRPr="00AA7C7F">
        <w:rPr>
          <w:sz w:val="24"/>
          <w:szCs w:val="24"/>
          <w:lang w:val="en-GB"/>
        </w:rPr>
        <w:t xml:space="preserve"> (§ 108 VVG)</w:t>
      </w:r>
      <w:r w:rsidR="00A554DE" w:rsidRPr="00AA7C7F">
        <w:rPr>
          <w:sz w:val="24"/>
          <w:szCs w:val="24"/>
          <w:lang w:val="en-GB"/>
        </w:rPr>
        <w:t>.</w:t>
      </w:r>
      <w:r w:rsidR="00CB324C">
        <w:rPr>
          <w:sz w:val="24"/>
          <w:szCs w:val="24"/>
          <w:lang w:val="en-GB"/>
        </w:rPr>
        <w:t xml:space="preserve"> </w:t>
      </w:r>
      <w:r w:rsidR="006A3530">
        <w:rPr>
          <w:sz w:val="24"/>
          <w:szCs w:val="24"/>
          <w:lang w:val="en-GB"/>
        </w:rPr>
        <w:t>Prior to</w:t>
      </w:r>
      <w:r w:rsidR="004766DF" w:rsidRPr="00AA7C7F">
        <w:rPr>
          <w:sz w:val="24"/>
          <w:szCs w:val="24"/>
          <w:lang w:val="en-GB"/>
        </w:rPr>
        <w:t xml:space="preserve"> the decision of the German Federal Court of Justice (BGH) of 13 April 2016,</w:t>
      </w:r>
      <w:r w:rsidR="00285DC0" w:rsidRPr="00036671">
        <w:rPr>
          <w:vertAlign w:val="superscript"/>
          <w:lang w:val="en-GB"/>
        </w:rPr>
        <w:footnoteReference w:id="12"/>
      </w:r>
      <w:r w:rsidR="004766DF" w:rsidRPr="00AA7C7F">
        <w:rPr>
          <w:sz w:val="24"/>
          <w:szCs w:val="24"/>
          <w:lang w:val="en-GB"/>
        </w:rPr>
        <w:t xml:space="preserve"> it was dispute</w:t>
      </w:r>
      <w:r w:rsidR="00B55644" w:rsidRPr="00AA7C7F">
        <w:rPr>
          <w:sz w:val="24"/>
          <w:szCs w:val="24"/>
          <w:lang w:val="en-GB"/>
        </w:rPr>
        <w:t>d</w:t>
      </w:r>
      <w:r w:rsidR="004766DF" w:rsidRPr="00AA7C7F">
        <w:rPr>
          <w:sz w:val="24"/>
          <w:szCs w:val="24"/>
          <w:lang w:val="en-GB"/>
        </w:rPr>
        <w:t xml:space="preserve"> whether the company was to be regarded as </w:t>
      </w:r>
      <w:r w:rsidR="00B55644" w:rsidRPr="00AA7C7F">
        <w:rPr>
          <w:sz w:val="24"/>
          <w:szCs w:val="24"/>
          <w:lang w:val="en-GB"/>
        </w:rPr>
        <w:t xml:space="preserve">a </w:t>
      </w:r>
      <w:r w:rsidR="004766DF" w:rsidRPr="00AA7C7F">
        <w:rPr>
          <w:sz w:val="24"/>
          <w:szCs w:val="24"/>
          <w:lang w:val="en-GB"/>
        </w:rPr>
        <w:t xml:space="preserve">third party </w:t>
      </w:r>
      <w:r w:rsidR="000C67A7">
        <w:rPr>
          <w:sz w:val="24"/>
          <w:szCs w:val="24"/>
          <w:lang w:val="en-GB"/>
        </w:rPr>
        <w:t>with</w:t>
      </w:r>
      <w:r w:rsidR="004766DF" w:rsidRPr="00AA7C7F">
        <w:rPr>
          <w:sz w:val="24"/>
          <w:szCs w:val="24"/>
          <w:lang w:val="en-GB"/>
        </w:rPr>
        <w:t>in the meaning of § 108 VVG</w:t>
      </w:r>
      <w:r w:rsidR="00CD4463" w:rsidRPr="00AA7C7F">
        <w:rPr>
          <w:sz w:val="24"/>
          <w:szCs w:val="24"/>
          <w:lang w:val="en-GB"/>
        </w:rPr>
        <w:t>.</w:t>
      </w:r>
      <w:r w:rsidR="004766DF" w:rsidRPr="00AA7C7F">
        <w:rPr>
          <w:sz w:val="24"/>
          <w:szCs w:val="24"/>
          <w:lang w:val="en-GB"/>
        </w:rPr>
        <w:t xml:space="preserve"> </w:t>
      </w:r>
      <w:r w:rsidR="001B338D" w:rsidRPr="001B338D">
        <w:rPr>
          <w:sz w:val="24"/>
          <w:szCs w:val="24"/>
          <w:lang w:val="en-GB"/>
        </w:rPr>
        <w:t xml:space="preserve">Some scholars took the view that, in cases of internal liability, the company could not be both the policyholder and a third party, and that an assignment </w:t>
      </w:r>
      <w:r w:rsidR="004948C5">
        <w:rPr>
          <w:sz w:val="24"/>
          <w:szCs w:val="24"/>
          <w:lang w:val="en-GB"/>
        </w:rPr>
        <w:t xml:space="preserve">of board members’ claim for indemnification </w:t>
      </w:r>
      <w:r w:rsidR="001B338D" w:rsidRPr="001B338D">
        <w:rPr>
          <w:sz w:val="24"/>
          <w:szCs w:val="24"/>
          <w:lang w:val="en-GB"/>
        </w:rPr>
        <w:t xml:space="preserve">was therefore </w:t>
      </w:r>
      <w:r w:rsidR="006553ED">
        <w:rPr>
          <w:sz w:val="24"/>
          <w:szCs w:val="24"/>
          <w:lang w:val="en-GB"/>
        </w:rPr>
        <w:t>im</w:t>
      </w:r>
      <w:r w:rsidR="001B338D" w:rsidRPr="001B338D">
        <w:rPr>
          <w:sz w:val="24"/>
          <w:szCs w:val="24"/>
          <w:lang w:val="en-GB"/>
        </w:rPr>
        <w:t>permissible.</w:t>
      </w:r>
      <w:r w:rsidR="00BC5570" w:rsidRPr="00036671">
        <w:rPr>
          <w:vertAlign w:val="superscript"/>
          <w:lang w:val="en-GB"/>
        </w:rPr>
        <w:footnoteReference w:id="13"/>
      </w:r>
      <w:r w:rsidR="00A2045E" w:rsidRPr="00AA7C7F">
        <w:rPr>
          <w:sz w:val="24"/>
          <w:szCs w:val="24"/>
          <w:lang w:val="en-GB"/>
        </w:rPr>
        <w:t xml:space="preserve"> The BGH rejected this view and ruled that, in the case of insurance for the account of a third party, such as D&amp;O </w:t>
      </w:r>
      <w:r w:rsidR="004345E4" w:rsidRPr="00AA7C7F">
        <w:rPr>
          <w:sz w:val="24"/>
          <w:szCs w:val="24"/>
          <w:lang w:val="en-GB"/>
        </w:rPr>
        <w:t>‘</w:t>
      </w:r>
      <w:r w:rsidR="00A2045E" w:rsidRPr="00AA7C7F">
        <w:rPr>
          <w:sz w:val="24"/>
          <w:szCs w:val="24"/>
          <w:lang w:val="en-GB"/>
        </w:rPr>
        <w:t>Side A</w:t>
      </w:r>
      <w:r w:rsidR="004345E4" w:rsidRPr="00AA7C7F">
        <w:rPr>
          <w:sz w:val="24"/>
          <w:szCs w:val="24"/>
          <w:lang w:val="en-GB"/>
        </w:rPr>
        <w:t>’</w:t>
      </w:r>
      <w:r w:rsidR="00A2045E" w:rsidRPr="00AA7C7F">
        <w:rPr>
          <w:sz w:val="24"/>
          <w:szCs w:val="24"/>
          <w:lang w:val="en-GB"/>
        </w:rPr>
        <w:t xml:space="preserve"> cover, the concept of the third party c</w:t>
      </w:r>
      <w:r w:rsidR="006553ED">
        <w:rPr>
          <w:sz w:val="24"/>
          <w:szCs w:val="24"/>
          <w:lang w:val="en-GB"/>
        </w:rPr>
        <w:t xml:space="preserve">annot be </w:t>
      </w:r>
      <w:r w:rsidR="00A2045E" w:rsidRPr="00AA7C7F">
        <w:rPr>
          <w:sz w:val="24"/>
          <w:szCs w:val="24"/>
          <w:lang w:val="en-GB"/>
        </w:rPr>
        <w:t xml:space="preserve">restricted </w:t>
      </w:r>
      <w:r w:rsidR="00B55644" w:rsidRPr="00AA7C7F">
        <w:rPr>
          <w:sz w:val="24"/>
          <w:szCs w:val="24"/>
          <w:lang w:val="en-GB"/>
        </w:rPr>
        <w:t xml:space="preserve">to </w:t>
      </w:r>
      <w:r w:rsidR="00A2045E" w:rsidRPr="00AA7C7F">
        <w:rPr>
          <w:sz w:val="24"/>
          <w:szCs w:val="24"/>
          <w:lang w:val="en-GB"/>
        </w:rPr>
        <w:t xml:space="preserve">persons </w:t>
      </w:r>
      <w:r w:rsidR="00B55644" w:rsidRPr="00AA7C7F">
        <w:rPr>
          <w:sz w:val="24"/>
          <w:szCs w:val="24"/>
          <w:lang w:val="en-GB"/>
        </w:rPr>
        <w:t xml:space="preserve">who </w:t>
      </w:r>
      <w:r w:rsidR="006553ED">
        <w:rPr>
          <w:sz w:val="24"/>
          <w:szCs w:val="24"/>
          <w:lang w:val="en-GB"/>
        </w:rPr>
        <w:t>are</w:t>
      </w:r>
      <w:r w:rsidR="00B55644" w:rsidRPr="00AA7C7F">
        <w:rPr>
          <w:sz w:val="24"/>
          <w:szCs w:val="24"/>
          <w:lang w:val="en-GB"/>
        </w:rPr>
        <w:t xml:space="preserve"> not parties of </w:t>
      </w:r>
      <w:r w:rsidR="00A2045E" w:rsidRPr="00AA7C7F">
        <w:rPr>
          <w:sz w:val="24"/>
          <w:szCs w:val="24"/>
          <w:lang w:val="en-GB"/>
        </w:rPr>
        <w:t xml:space="preserve">the </w:t>
      </w:r>
      <w:r w:rsidR="00B55644" w:rsidRPr="00AA7C7F">
        <w:rPr>
          <w:sz w:val="24"/>
          <w:szCs w:val="24"/>
          <w:lang w:val="en-GB"/>
        </w:rPr>
        <w:t xml:space="preserve">insurance </w:t>
      </w:r>
      <w:r w:rsidR="00A2045E" w:rsidRPr="00AA7C7F">
        <w:rPr>
          <w:sz w:val="24"/>
          <w:szCs w:val="24"/>
          <w:lang w:val="en-GB"/>
        </w:rPr>
        <w:t xml:space="preserve">contract. </w:t>
      </w:r>
      <w:r w:rsidR="00465718" w:rsidRPr="00465718">
        <w:rPr>
          <w:sz w:val="24"/>
          <w:szCs w:val="24"/>
          <w:lang w:val="en-GB"/>
        </w:rPr>
        <w:t xml:space="preserve">Consequently, the </w:t>
      </w:r>
      <w:r w:rsidR="00465718">
        <w:rPr>
          <w:sz w:val="24"/>
          <w:szCs w:val="24"/>
          <w:lang w:val="en-GB"/>
        </w:rPr>
        <w:t>company/</w:t>
      </w:r>
      <w:r w:rsidR="00465718" w:rsidRPr="00465718">
        <w:rPr>
          <w:sz w:val="24"/>
          <w:szCs w:val="24"/>
          <w:lang w:val="en-GB"/>
        </w:rPr>
        <w:t>policyholder may also assume the role of a third party</w:t>
      </w:r>
      <w:r w:rsidR="00BC5570">
        <w:rPr>
          <w:sz w:val="24"/>
          <w:szCs w:val="24"/>
          <w:lang w:val="en-GB"/>
        </w:rPr>
        <w:t xml:space="preserve"> </w:t>
      </w:r>
      <w:r w:rsidR="00BC5570" w:rsidRPr="00BC5570">
        <w:rPr>
          <w:sz w:val="24"/>
          <w:szCs w:val="24"/>
          <w:lang w:val="en-GB"/>
        </w:rPr>
        <w:t xml:space="preserve">to whom the claim </w:t>
      </w:r>
      <w:r w:rsidR="00BC5570">
        <w:rPr>
          <w:sz w:val="24"/>
          <w:szCs w:val="24"/>
          <w:lang w:val="en-GB"/>
        </w:rPr>
        <w:t xml:space="preserve">for indemnification </w:t>
      </w:r>
      <w:r w:rsidR="00BC5570" w:rsidRPr="00BC5570">
        <w:rPr>
          <w:sz w:val="24"/>
          <w:szCs w:val="24"/>
          <w:lang w:val="en-GB"/>
        </w:rPr>
        <w:t>can be assigned</w:t>
      </w:r>
      <w:r w:rsidR="00465718" w:rsidRPr="00465718">
        <w:rPr>
          <w:sz w:val="24"/>
          <w:szCs w:val="24"/>
          <w:lang w:val="en-GB"/>
        </w:rPr>
        <w:t>.</w:t>
      </w:r>
      <w:r w:rsidR="00285DC0" w:rsidRPr="00036671">
        <w:rPr>
          <w:vertAlign w:val="superscript"/>
          <w:lang w:val="en-GB"/>
        </w:rPr>
        <w:footnoteReference w:id="14"/>
      </w:r>
    </w:p>
    <w:p w14:paraId="208EF049" w14:textId="400AF6CA" w:rsidR="00AD4DB0" w:rsidRPr="00AA7C7F" w:rsidRDefault="0088775C" w:rsidP="00285DC0">
      <w:pPr>
        <w:tabs>
          <w:tab w:val="left" w:pos="426"/>
        </w:tabs>
        <w:ind w:left="426" w:hanging="426"/>
        <w:rPr>
          <w:b/>
          <w:sz w:val="24"/>
          <w:szCs w:val="24"/>
          <w:lang w:val="en-GB"/>
        </w:rPr>
      </w:pPr>
      <w:r w:rsidRPr="00AA7C7F">
        <w:rPr>
          <w:b/>
          <w:sz w:val="24"/>
          <w:szCs w:val="24"/>
          <w:lang w:val="en-GB"/>
        </w:rPr>
        <w:t>II</w:t>
      </w:r>
      <w:r w:rsidR="00AD4DB0" w:rsidRPr="00AA7C7F">
        <w:rPr>
          <w:b/>
          <w:sz w:val="24"/>
          <w:szCs w:val="24"/>
          <w:lang w:val="en-GB"/>
        </w:rPr>
        <w:t>.</w:t>
      </w:r>
      <w:r w:rsidR="008F3CB2" w:rsidRPr="00AA7C7F">
        <w:rPr>
          <w:b/>
          <w:sz w:val="24"/>
          <w:szCs w:val="24"/>
          <w:lang w:val="en-GB"/>
        </w:rPr>
        <w:tab/>
      </w:r>
      <w:r w:rsidR="008F3CB2" w:rsidRPr="00AA7C7F">
        <w:rPr>
          <w:b/>
          <w:bCs/>
          <w:sz w:val="24"/>
          <w:szCs w:val="24"/>
          <w:lang w:val="en-US"/>
        </w:rPr>
        <w:t xml:space="preserve">Shifting the </w:t>
      </w:r>
      <w:r w:rsidR="00FF0475" w:rsidRPr="00AA7C7F">
        <w:rPr>
          <w:b/>
          <w:bCs/>
          <w:sz w:val="24"/>
          <w:szCs w:val="24"/>
          <w:lang w:val="en-US"/>
        </w:rPr>
        <w:t>B</w:t>
      </w:r>
      <w:r w:rsidR="008F3CB2" w:rsidRPr="00AA7C7F">
        <w:rPr>
          <w:b/>
          <w:bCs/>
          <w:sz w:val="24"/>
          <w:szCs w:val="24"/>
          <w:lang w:val="en-US"/>
        </w:rPr>
        <w:t xml:space="preserve">urden of </w:t>
      </w:r>
      <w:r w:rsidR="00FF0475" w:rsidRPr="00AA7C7F">
        <w:rPr>
          <w:b/>
          <w:bCs/>
          <w:sz w:val="24"/>
          <w:szCs w:val="24"/>
          <w:lang w:val="en-US"/>
        </w:rPr>
        <w:t>P</w:t>
      </w:r>
      <w:r w:rsidR="008F3CB2" w:rsidRPr="00AA7C7F">
        <w:rPr>
          <w:b/>
          <w:bCs/>
          <w:sz w:val="24"/>
          <w:szCs w:val="24"/>
          <w:lang w:val="en-US"/>
        </w:rPr>
        <w:t xml:space="preserve">roof from the </w:t>
      </w:r>
      <w:r w:rsidR="00FF0475" w:rsidRPr="00AA7C7F">
        <w:rPr>
          <w:b/>
          <w:bCs/>
          <w:sz w:val="24"/>
          <w:szCs w:val="24"/>
          <w:lang w:val="en-US"/>
        </w:rPr>
        <w:t>I</w:t>
      </w:r>
      <w:r w:rsidR="008F3CB2" w:rsidRPr="00AA7C7F">
        <w:rPr>
          <w:b/>
          <w:bCs/>
          <w:sz w:val="24"/>
          <w:szCs w:val="24"/>
          <w:lang w:val="en-US"/>
        </w:rPr>
        <w:t xml:space="preserve">nsurer to </w:t>
      </w:r>
      <w:r w:rsidR="00FF0475" w:rsidRPr="00AA7C7F">
        <w:rPr>
          <w:b/>
          <w:bCs/>
          <w:sz w:val="24"/>
          <w:szCs w:val="24"/>
          <w:lang w:val="en-US"/>
        </w:rPr>
        <w:t>t</w:t>
      </w:r>
      <w:r w:rsidR="008F3CB2" w:rsidRPr="00AA7C7F">
        <w:rPr>
          <w:b/>
          <w:bCs/>
          <w:sz w:val="24"/>
          <w:szCs w:val="24"/>
          <w:lang w:val="en-US"/>
        </w:rPr>
        <w:t xml:space="preserve">he </w:t>
      </w:r>
      <w:r w:rsidR="00FF0475" w:rsidRPr="00AA7C7F">
        <w:rPr>
          <w:b/>
          <w:bCs/>
          <w:sz w:val="24"/>
          <w:szCs w:val="24"/>
          <w:lang w:val="en-US"/>
        </w:rPr>
        <w:t>C</w:t>
      </w:r>
      <w:r w:rsidR="008F3CB2" w:rsidRPr="00AA7C7F">
        <w:rPr>
          <w:b/>
          <w:bCs/>
          <w:sz w:val="24"/>
          <w:szCs w:val="24"/>
          <w:lang w:val="en-US"/>
        </w:rPr>
        <w:t xml:space="preserve">ompany as a </w:t>
      </w:r>
      <w:r w:rsidR="00FF0475" w:rsidRPr="00AA7C7F">
        <w:rPr>
          <w:b/>
          <w:bCs/>
          <w:sz w:val="24"/>
          <w:szCs w:val="24"/>
          <w:lang w:val="en-US"/>
        </w:rPr>
        <w:t>R</w:t>
      </w:r>
      <w:r w:rsidR="008F3CB2" w:rsidRPr="00AA7C7F">
        <w:rPr>
          <w:b/>
          <w:bCs/>
          <w:sz w:val="24"/>
          <w:szCs w:val="24"/>
          <w:lang w:val="en-US"/>
        </w:rPr>
        <w:t xml:space="preserve">esult of the </w:t>
      </w:r>
      <w:r w:rsidR="00FF0475" w:rsidRPr="00AA7C7F">
        <w:rPr>
          <w:b/>
          <w:bCs/>
          <w:sz w:val="24"/>
          <w:szCs w:val="24"/>
          <w:lang w:val="en-US"/>
        </w:rPr>
        <w:t>A</w:t>
      </w:r>
      <w:r w:rsidR="008F3CB2" w:rsidRPr="00AA7C7F">
        <w:rPr>
          <w:b/>
          <w:bCs/>
          <w:sz w:val="24"/>
          <w:szCs w:val="24"/>
          <w:lang w:val="en-US"/>
        </w:rPr>
        <w:t>ssignment?</w:t>
      </w:r>
    </w:p>
    <w:p w14:paraId="0BA46AEF" w14:textId="52DDE38F" w:rsidR="00E518B2" w:rsidRPr="00AA7C7F" w:rsidRDefault="00750E85" w:rsidP="00E518B2">
      <w:pPr>
        <w:rPr>
          <w:sz w:val="24"/>
          <w:szCs w:val="24"/>
          <w:lang w:val="en-GB"/>
        </w:rPr>
      </w:pPr>
      <w:r>
        <w:rPr>
          <w:sz w:val="24"/>
          <w:szCs w:val="24"/>
          <w:lang w:val="en-GB"/>
        </w:rPr>
        <w:t xml:space="preserve">It is </w:t>
      </w:r>
      <w:r w:rsidR="000C67A7">
        <w:rPr>
          <w:sz w:val="24"/>
          <w:szCs w:val="24"/>
          <w:lang w:val="en-GB"/>
        </w:rPr>
        <w:t>disputed</w:t>
      </w:r>
      <w:r w:rsidR="008D2699" w:rsidRPr="00AA7C7F">
        <w:rPr>
          <w:sz w:val="24"/>
          <w:szCs w:val="24"/>
          <w:lang w:val="en-GB"/>
        </w:rPr>
        <w:t xml:space="preserve"> whether </w:t>
      </w:r>
      <w:r w:rsidR="00B3588F" w:rsidRPr="00B3588F">
        <w:rPr>
          <w:sz w:val="24"/>
          <w:szCs w:val="24"/>
          <w:lang w:val="en-GB"/>
        </w:rPr>
        <w:t xml:space="preserve">the burden of proof regarding the breach of duty, the occurrence of loss and the causal link passes to the company or remains with the insurer if, following the assignment of the </w:t>
      </w:r>
      <w:r w:rsidR="00BC5570">
        <w:rPr>
          <w:sz w:val="24"/>
          <w:szCs w:val="24"/>
          <w:lang w:val="en-GB"/>
        </w:rPr>
        <w:t xml:space="preserve">claim for </w:t>
      </w:r>
      <w:r w:rsidR="00B3588F">
        <w:rPr>
          <w:sz w:val="24"/>
          <w:szCs w:val="24"/>
          <w:lang w:val="en-GB"/>
        </w:rPr>
        <w:t>indemnification</w:t>
      </w:r>
      <w:r w:rsidR="00B3588F" w:rsidRPr="00B3588F">
        <w:rPr>
          <w:sz w:val="24"/>
          <w:szCs w:val="24"/>
          <w:lang w:val="en-GB"/>
        </w:rPr>
        <w:t>, the company brings an action for payment against the insurer.</w:t>
      </w:r>
      <w:r w:rsidR="008D2699" w:rsidRPr="00AA7C7F">
        <w:rPr>
          <w:sz w:val="24"/>
          <w:szCs w:val="24"/>
          <w:lang w:val="en-GB"/>
        </w:rPr>
        <w:t xml:space="preserve"> According to § 93 para 2 sent 2 AktG </w:t>
      </w:r>
      <w:r w:rsidR="00E518B2" w:rsidRPr="00AA7C7F">
        <w:rPr>
          <w:sz w:val="24"/>
          <w:szCs w:val="24"/>
          <w:lang w:val="en-GB"/>
        </w:rPr>
        <w:t xml:space="preserve">and § 34 para 2 sent 2 GenG </w:t>
      </w:r>
      <w:r w:rsidR="008D2699" w:rsidRPr="00AA7C7F">
        <w:rPr>
          <w:sz w:val="24"/>
          <w:szCs w:val="24"/>
          <w:lang w:val="en-GB"/>
        </w:rPr>
        <w:t xml:space="preserve">in </w:t>
      </w:r>
      <w:r w:rsidR="008F3CB2" w:rsidRPr="00AA7C7F">
        <w:rPr>
          <w:sz w:val="24"/>
          <w:szCs w:val="24"/>
          <w:lang w:val="en-GB"/>
        </w:rPr>
        <w:t xml:space="preserve">the </w:t>
      </w:r>
      <w:r w:rsidR="00AB0C07" w:rsidRPr="00AA7C7F">
        <w:rPr>
          <w:sz w:val="24"/>
          <w:szCs w:val="24"/>
          <w:lang w:val="en-GB"/>
        </w:rPr>
        <w:t xml:space="preserve">event of a claim, </w:t>
      </w:r>
      <w:r w:rsidR="008D2699" w:rsidRPr="00AA7C7F">
        <w:rPr>
          <w:sz w:val="24"/>
          <w:szCs w:val="24"/>
          <w:lang w:val="en-GB"/>
        </w:rPr>
        <w:t xml:space="preserve">the burden of proof lies with the </w:t>
      </w:r>
      <w:r w:rsidR="000C67A7">
        <w:rPr>
          <w:sz w:val="24"/>
          <w:szCs w:val="24"/>
          <w:lang w:val="en-GB"/>
        </w:rPr>
        <w:t xml:space="preserve">members of the executive board </w:t>
      </w:r>
      <w:r w:rsidR="008D2699" w:rsidRPr="00AA7C7F">
        <w:rPr>
          <w:sz w:val="24"/>
          <w:szCs w:val="24"/>
          <w:lang w:val="en-GB"/>
        </w:rPr>
        <w:t>if it is disputed whether they exercised the due care of a prudent manager</w:t>
      </w:r>
      <w:r w:rsidR="00AB0C07" w:rsidRPr="00AA7C7F">
        <w:rPr>
          <w:sz w:val="24"/>
          <w:szCs w:val="24"/>
          <w:lang w:val="en-GB"/>
        </w:rPr>
        <w:t>, as</w:t>
      </w:r>
      <w:r w:rsidR="008D2699" w:rsidRPr="00AA7C7F">
        <w:rPr>
          <w:sz w:val="24"/>
          <w:szCs w:val="24"/>
          <w:lang w:val="en-GB"/>
        </w:rPr>
        <w:t xml:space="preserve"> they are in a better position than the company to </w:t>
      </w:r>
      <w:r w:rsidR="00AB0C07" w:rsidRPr="00AA7C7F">
        <w:rPr>
          <w:sz w:val="24"/>
          <w:szCs w:val="24"/>
          <w:lang w:val="en-GB"/>
        </w:rPr>
        <w:t>set out</w:t>
      </w:r>
      <w:r w:rsidR="008D2699" w:rsidRPr="00AA7C7F">
        <w:rPr>
          <w:sz w:val="24"/>
          <w:szCs w:val="24"/>
          <w:lang w:val="en-GB"/>
        </w:rPr>
        <w:t xml:space="preserve"> the circumstances </w:t>
      </w:r>
      <w:r w:rsidR="003073E0">
        <w:rPr>
          <w:sz w:val="24"/>
          <w:szCs w:val="24"/>
          <w:lang w:val="en-GB"/>
        </w:rPr>
        <w:t>indicating</w:t>
      </w:r>
      <w:r w:rsidR="008D2699" w:rsidRPr="00AA7C7F">
        <w:rPr>
          <w:sz w:val="24"/>
          <w:szCs w:val="24"/>
          <w:lang w:val="en-GB"/>
        </w:rPr>
        <w:t xml:space="preserve"> the proper fulfilment of their duties.</w:t>
      </w:r>
      <w:r w:rsidR="00285DC0" w:rsidRPr="00036671">
        <w:rPr>
          <w:vertAlign w:val="superscript"/>
          <w:lang w:val="en-GB"/>
        </w:rPr>
        <w:footnoteReference w:id="15"/>
      </w:r>
      <w:r w:rsidR="008D2699" w:rsidRPr="00AA7C7F">
        <w:rPr>
          <w:sz w:val="24"/>
          <w:szCs w:val="24"/>
          <w:lang w:val="en-GB"/>
        </w:rPr>
        <w:t xml:space="preserve"> </w:t>
      </w:r>
      <w:r w:rsidR="00E518B2" w:rsidRPr="00AA7C7F">
        <w:rPr>
          <w:sz w:val="24"/>
          <w:szCs w:val="24"/>
          <w:lang w:val="en-GB"/>
        </w:rPr>
        <w:t>§ 93 para 2 sent 2 AktG and § 34 para 2 sent 2 GenG establish a general principle which applies by analogy to the managing director of a limited liability company (Gesellschaft mit beschränkter Haftung (GmbH)).</w:t>
      </w:r>
      <w:r w:rsidR="00285DC0" w:rsidRPr="00036671">
        <w:rPr>
          <w:vertAlign w:val="superscript"/>
          <w:lang w:val="en-GB"/>
        </w:rPr>
        <w:footnoteReference w:id="16"/>
      </w:r>
    </w:p>
    <w:p w14:paraId="0A9DF9DB" w14:textId="3BAEAC99" w:rsidR="00AD4DB0" w:rsidRPr="00AA7C7F" w:rsidRDefault="003073E0" w:rsidP="006C52B2">
      <w:pPr>
        <w:rPr>
          <w:sz w:val="24"/>
          <w:szCs w:val="24"/>
          <w:lang w:val="en-GB"/>
        </w:rPr>
      </w:pPr>
      <w:r w:rsidRPr="003073E0">
        <w:rPr>
          <w:sz w:val="24"/>
          <w:szCs w:val="24"/>
          <w:lang w:val="en-GB"/>
        </w:rPr>
        <w:t xml:space="preserve">Some authors take the view that the burden of proof shifts to the company if </w:t>
      </w:r>
      <w:r w:rsidR="004948C5">
        <w:rPr>
          <w:sz w:val="24"/>
          <w:szCs w:val="24"/>
          <w:lang w:val="en-GB"/>
        </w:rPr>
        <w:t>the</w:t>
      </w:r>
      <w:r w:rsidRPr="003073E0">
        <w:rPr>
          <w:sz w:val="24"/>
          <w:szCs w:val="24"/>
          <w:lang w:val="en-GB"/>
        </w:rPr>
        <w:t xml:space="preserve"> member</w:t>
      </w:r>
      <w:r w:rsidR="004948C5">
        <w:rPr>
          <w:sz w:val="24"/>
          <w:szCs w:val="24"/>
          <w:lang w:val="en-GB"/>
        </w:rPr>
        <w:t>s</w:t>
      </w:r>
      <w:r w:rsidRPr="003073E0">
        <w:rPr>
          <w:sz w:val="24"/>
          <w:szCs w:val="24"/>
          <w:lang w:val="en-GB"/>
        </w:rPr>
        <w:t xml:space="preserve"> of the executive board assign their claim for </w:t>
      </w:r>
      <w:r>
        <w:rPr>
          <w:sz w:val="24"/>
          <w:szCs w:val="24"/>
          <w:lang w:val="en-GB"/>
        </w:rPr>
        <w:t>indemnification</w:t>
      </w:r>
      <w:r w:rsidRPr="003073E0">
        <w:rPr>
          <w:sz w:val="24"/>
          <w:szCs w:val="24"/>
          <w:lang w:val="en-GB"/>
        </w:rPr>
        <w:t xml:space="preserve"> against the insurer to the company.</w:t>
      </w:r>
      <w:r w:rsidR="00285DC0" w:rsidRPr="00036671">
        <w:rPr>
          <w:vertAlign w:val="superscript"/>
          <w:lang w:val="en-GB"/>
        </w:rPr>
        <w:footnoteReference w:id="17"/>
      </w:r>
      <w:r w:rsidR="008D2699" w:rsidRPr="00AA7C7F">
        <w:rPr>
          <w:sz w:val="24"/>
          <w:szCs w:val="24"/>
          <w:lang w:val="en-GB"/>
        </w:rPr>
        <w:t xml:space="preserve"> The Cologne </w:t>
      </w:r>
      <w:r w:rsidR="00285DC0">
        <w:rPr>
          <w:sz w:val="24"/>
          <w:szCs w:val="24"/>
          <w:lang w:val="en-GB"/>
        </w:rPr>
        <w:t>Court of Appeal</w:t>
      </w:r>
      <w:r w:rsidR="00285DC0" w:rsidRPr="00036671">
        <w:rPr>
          <w:vertAlign w:val="superscript"/>
          <w:lang w:val="en-GB"/>
        </w:rPr>
        <w:footnoteReference w:id="18"/>
      </w:r>
      <w:r w:rsidR="00285DC0">
        <w:rPr>
          <w:sz w:val="24"/>
          <w:szCs w:val="24"/>
          <w:lang w:val="en-GB"/>
        </w:rPr>
        <w:t xml:space="preserve"> </w:t>
      </w:r>
      <w:r w:rsidR="008D2699" w:rsidRPr="00AA7C7F">
        <w:rPr>
          <w:sz w:val="24"/>
          <w:szCs w:val="24"/>
          <w:lang w:val="en-GB"/>
        </w:rPr>
        <w:t xml:space="preserve">and </w:t>
      </w:r>
      <w:r w:rsidR="00285DC0">
        <w:rPr>
          <w:sz w:val="24"/>
          <w:szCs w:val="24"/>
          <w:lang w:val="en-GB"/>
        </w:rPr>
        <w:t xml:space="preserve">the </w:t>
      </w:r>
      <w:r w:rsidR="008D2699" w:rsidRPr="00AA7C7F">
        <w:rPr>
          <w:sz w:val="24"/>
          <w:szCs w:val="24"/>
          <w:lang w:val="en-GB"/>
        </w:rPr>
        <w:t xml:space="preserve">Frankfurt </w:t>
      </w:r>
      <w:r w:rsidR="008A26A7" w:rsidRPr="00AA7C7F">
        <w:rPr>
          <w:sz w:val="24"/>
          <w:szCs w:val="24"/>
          <w:lang w:val="en-GB"/>
        </w:rPr>
        <w:t>Court of Appeal</w:t>
      </w:r>
      <w:r w:rsidR="00285DC0" w:rsidRPr="00036671">
        <w:rPr>
          <w:vertAlign w:val="superscript"/>
          <w:lang w:val="en-GB"/>
        </w:rPr>
        <w:footnoteReference w:id="19"/>
      </w:r>
      <w:r w:rsidR="008D2699" w:rsidRPr="00AA7C7F">
        <w:rPr>
          <w:sz w:val="24"/>
          <w:szCs w:val="24"/>
          <w:lang w:val="en-GB"/>
        </w:rPr>
        <w:t xml:space="preserve"> take a different view. In their </w:t>
      </w:r>
      <w:r w:rsidR="00AB0C07" w:rsidRPr="00AA7C7F">
        <w:rPr>
          <w:sz w:val="24"/>
          <w:szCs w:val="24"/>
          <w:lang w:val="en-GB"/>
        </w:rPr>
        <w:t>opinion,</w:t>
      </w:r>
      <w:r w:rsidR="008D2699" w:rsidRPr="00AA7C7F">
        <w:rPr>
          <w:sz w:val="24"/>
          <w:szCs w:val="24"/>
          <w:lang w:val="en-GB"/>
        </w:rPr>
        <w:t xml:space="preserve"> </w:t>
      </w:r>
      <w:r w:rsidR="00D86284" w:rsidRPr="00D86284">
        <w:rPr>
          <w:sz w:val="24"/>
          <w:szCs w:val="24"/>
          <w:lang w:val="en-GB"/>
        </w:rPr>
        <w:t xml:space="preserve">the assignment does not alter the burden of proof regarding the </w:t>
      </w:r>
      <w:r w:rsidR="00D86284">
        <w:rPr>
          <w:sz w:val="24"/>
          <w:szCs w:val="24"/>
          <w:lang w:val="en-GB"/>
        </w:rPr>
        <w:t>liability of the board members</w:t>
      </w:r>
      <w:r w:rsidR="00D86284" w:rsidRPr="00D86284">
        <w:rPr>
          <w:sz w:val="24"/>
          <w:szCs w:val="24"/>
          <w:lang w:val="en-GB"/>
        </w:rPr>
        <w:t>, which the court must examine incidentally whilst considering the company’s claim for payment.</w:t>
      </w:r>
      <w:r w:rsidR="00285DC0" w:rsidRPr="00036671">
        <w:rPr>
          <w:vertAlign w:val="superscript"/>
          <w:lang w:val="en-GB"/>
        </w:rPr>
        <w:footnoteReference w:id="20"/>
      </w:r>
    </w:p>
    <w:p w14:paraId="7AD9B570" w14:textId="0D0011B1" w:rsidR="00AD4DB0" w:rsidRPr="00AA7C7F" w:rsidRDefault="00E518B2" w:rsidP="006C52B2">
      <w:pPr>
        <w:rPr>
          <w:sz w:val="24"/>
          <w:szCs w:val="24"/>
          <w:lang w:val="en-GB"/>
        </w:rPr>
      </w:pPr>
      <w:r w:rsidRPr="00AA7C7F">
        <w:rPr>
          <w:sz w:val="24"/>
          <w:szCs w:val="24"/>
          <w:lang w:val="en-GB"/>
        </w:rPr>
        <w:t>I agree with this finding</w:t>
      </w:r>
      <w:r w:rsidR="00C15737" w:rsidRPr="00AA7C7F">
        <w:rPr>
          <w:sz w:val="24"/>
          <w:szCs w:val="24"/>
          <w:lang w:val="en-GB"/>
        </w:rPr>
        <w:t>,</w:t>
      </w:r>
      <w:r w:rsidR="00285DC0" w:rsidRPr="00036671">
        <w:rPr>
          <w:vertAlign w:val="superscript"/>
          <w:lang w:val="en-GB"/>
        </w:rPr>
        <w:footnoteReference w:id="21"/>
      </w:r>
      <w:r w:rsidRPr="00AA7C7F">
        <w:rPr>
          <w:sz w:val="24"/>
          <w:szCs w:val="24"/>
          <w:lang w:val="en-GB"/>
        </w:rPr>
        <w:t xml:space="preserve"> and i</w:t>
      </w:r>
      <w:r w:rsidR="00AD4DB0" w:rsidRPr="00AA7C7F">
        <w:rPr>
          <w:sz w:val="24"/>
          <w:szCs w:val="24"/>
          <w:lang w:val="en-GB"/>
        </w:rPr>
        <w:t xml:space="preserve">t remains to be seen when the </w:t>
      </w:r>
      <w:r w:rsidR="00285DC0">
        <w:rPr>
          <w:sz w:val="24"/>
          <w:szCs w:val="24"/>
          <w:lang w:val="en-GB"/>
        </w:rPr>
        <w:t>BGH</w:t>
      </w:r>
      <w:r w:rsidR="00AD4DB0" w:rsidRPr="00AA7C7F">
        <w:rPr>
          <w:sz w:val="24"/>
          <w:szCs w:val="24"/>
          <w:lang w:val="en-GB"/>
        </w:rPr>
        <w:t xml:space="preserve"> will have the opportunity to rule on this matter. </w:t>
      </w:r>
      <w:r w:rsidR="00DF3120">
        <w:rPr>
          <w:sz w:val="24"/>
          <w:szCs w:val="24"/>
          <w:lang w:val="en-GB"/>
        </w:rPr>
        <w:t>However, particularly i</w:t>
      </w:r>
      <w:r w:rsidR="0009785C" w:rsidRPr="0009785C">
        <w:rPr>
          <w:sz w:val="24"/>
          <w:szCs w:val="24"/>
          <w:lang w:val="en-GB"/>
        </w:rPr>
        <w:t>n broker wordings</w:t>
      </w:r>
      <w:r w:rsidR="00DF3120">
        <w:rPr>
          <w:sz w:val="24"/>
          <w:szCs w:val="24"/>
          <w:lang w:val="en-GB"/>
        </w:rPr>
        <w:t>,</w:t>
      </w:r>
      <w:r w:rsidR="0009785C" w:rsidRPr="0009785C">
        <w:rPr>
          <w:sz w:val="24"/>
          <w:szCs w:val="24"/>
          <w:lang w:val="en-GB"/>
        </w:rPr>
        <w:t xml:space="preserve"> the parties regularly address this uncertainty by including a clause in the D&amp;O insurance policy stipulating that, in the event of an assignment of the claim for indemnification, there shall be no reversal of the burden of proof</w:t>
      </w:r>
      <w:r w:rsidR="00D86284">
        <w:rPr>
          <w:sz w:val="24"/>
          <w:szCs w:val="24"/>
          <w:lang w:val="en-GB"/>
        </w:rPr>
        <w:t xml:space="preserve"> concerning the board members’ liability</w:t>
      </w:r>
      <w:r w:rsidR="00AD4DB0" w:rsidRPr="00AA7C7F">
        <w:rPr>
          <w:sz w:val="24"/>
          <w:szCs w:val="24"/>
          <w:lang w:val="en-GB"/>
        </w:rPr>
        <w:t>.</w:t>
      </w:r>
    </w:p>
    <w:p w14:paraId="3A92CE32" w14:textId="77777777" w:rsidR="005F6A46" w:rsidRDefault="0088775C" w:rsidP="005F6A46">
      <w:pPr>
        <w:tabs>
          <w:tab w:val="left" w:pos="426"/>
        </w:tabs>
        <w:rPr>
          <w:b/>
          <w:sz w:val="24"/>
          <w:szCs w:val="24"/>
          <w:lang w:val="en-GB"/>
        </w:rPr>
      </w:pPr>
      <w:r w:rsidRPr="00AA7C7F">
        <w:rPr>
          <w:b/>
          <w:sz w:val="24"/>
          <w:szCs w:val="24"/>
          <w:lang w:val="en-GB"/>
        </w:rPr>
        <w:t>III</w:t>
      </w:r>
      <w:r w:rsidR="00AD4DB0" w:rsidRPr="00AA7C7F">
        <w:rPr>
          <w:b/>
          <w:sz w:val="24"/>
          <w:szCs w:val="24"/>
          <w:lang w:val="en-GB"/>
        </w:rPr>
        <w:t>.</w:t>
      </w:r>
      <w:r w:rsidR="008F3CB2" w:rsidRPr="00AA7C7F">
        <w:rPr>
          <w:b/>
          <w:sz w:val="24"/>
          <w:szCs w:val="24"/>
          <w:lang w:val="en-GB"/>
        </w:rPr>
        <w:tab/>
      </w:r>
      <w:r w:rsidR="00FF0475" w:rsidRPr="00AA7C7F">
        <w:rPr>
          <w:b/>
          <w:sz w:val="24"/>
          <w:szCs w:val="24"/>
          <w:lang w:val="en-GB"/>
        </w:rPr>
        <w:t>Assignment in Lieu of or on Account of Payment of the Claim for Damages?</w:t>
      </w:r>
    </w:p>
    <w:p w14:paraId="3CE3ECE5" w14:textId="1585DB0F" w:rsidR="005F6A46" w:rsidRPr="005F6A46" w:rsidRDefault="005F6A46" w:rsidP="005F6A46">
      <w:pPr>
        <w:tabs>
          <w:tab w:val="left" w:pos="426"/>
        </w:tabs>
        <w:rPr>
          <w:b/>
          <w:sz w:val="24"/>
          <w:szCs w:val="24"/>
          <w:lang w:val="en-GB"/>
        </w:rPr>
      </w:pPr>
      <w:r>
        <w:rPr>
          <w:sz w:val="24"/>
          <w:szCs w:val="24"/>
          <w:lang w:val="en-GB"/>
        </w:rPr>
        <w:t>1.</w:t>
      </w:r>
      <w:r>
        <w:rPr>
          <w:sz w:val="24"/>
          <w:szCs w:val="24"/>
          <w:lang w:val="en-GB"/>
        </w:rPr>
        <w:tab/>
      </w:r>
      <w:r w:rsidRPr="00AA7C7F">
        <w:rPr>
          <w:b/>
          <w:sz w:val="24"/>
          <w:szCs w:val="24"/>
          <w:lang w:val="en-GB"/>
        </w:rPr>
        <w:t>Assignment in Lieu of the Claim for Damages</w:t>
      </w:r>
    </w:p>
    <w:p w14:paraId="7544FFEA" w14:textId="169713EB" w:rsidR="00CD4129" w:rsidRDefault="0082227F" w:rsidP="00CD4129">
      <w:pPr>
        <w:rPr>
          <w:sz w:val="24"/>
          <w:szCs w:val="24"/>
          <w:lang w:val="en-GB"/>
        </w:rPr>
      </w:pPr>
      <w:r w:rsidRPr="00AA7C7F">
        <w:rPr>
          <w:sz w:val="24"/>
          <w:szCs w:val="24"/>
          <w:lang w:val="en-GB"/>
        </w:rPr>
        <w:t xml:space="preserve">Understandably, the </w:t>
      </w:r>
      <w:r w:rsidR="00285DC0">
        <w:rPr>
          <w:sz w:val="24"/>
          <w:szCs w:val="24"/>
          <w:lang w:val="en-GB"/>
        </w:rPr>
        <w:t>members of the executive or supervisory board</w:t>
      </w:r>
      <w:r w:rsidRPr="00AA7C7F">
        <w:rPr>
          <w:sz w:val="24"/>
          <w:szCs w:val="24"/>
          <w:lang w:val="en-GB"/>
        </w:rPr>
        <w:t xml:space="preserve"> wish to be released from liability towards the company in return for the assignment of the claim for indemnification</w:t>
      </w:r>
      <w:r w:rsidR="00C15737" w:rsidRPr="00AA7C7F">
        <w:rPr>
          <w:sz w:val="24"/>
          <w:szCs w:val="24"/>
          <w:lang w:val="en-GB"/>
        </w:rPr>
        <w:t xml:space="preserve"> (see § 364 para 1 BGB)</w:t>
      </w:r>
      <w:r w:rsidRPr="00AA7C7F">
        <w:rPr>
          <w:sz w:val="24"/>
          <w:szCs w:val="24"/>
          <w:lang w:val="en-GB"/>
        </w:rPr>
        <w:t xml:space="preserve">, regardless of whether the company succeeds in its claim for payment against the insurer. However, the release from liability of </w:t>
      </w:r>
      <w:r w:rsidR="00285DC0">
        <w:rPr>
          <w:sz w:val="24"/>
          <w:szCs w:val="24"/>
          <w:lang w:val="en-GB"/>
        </w:rPr>
        <w:t>board members</w:t>
      </w:r>
      <w:r w:rsidRPr="00AA7C7F">
        <w:rPr>
          <w:sz w:val="24"/>
          <w:szCs w:val="24"/>
          <w:lang w:val="en-GB"/>
        </w:rPr>
        <w:t xml:space="preserve"> of stock corporations is subject to </w:t>
      </w:r>
      <w:r w:rsidR="00285DC0" w:rsidRPr="00285DC0">
        <w:rPr>
          <w:sz w:val="24"/>
          <w:szCs w:val="24"/>
          <w:lang w:val="en-GB"/>
        </w:rPr>
        <w:t xml:space="preserve">strict limitations. </w:t>
      </w:r>
      <w:r w:rsidRPr="00AA7C7F">
        <w:rPr>
          <w:sz w:val="24"/>
          <w:szCs w:val="24"/>
          <w:lang w:val="en-GB"/>
        </w:rPr>
        <w:t xml:space="preserve">As already mentioned, the claim must be at least three years old and the general meeting must have approved the assignment in lieu of the fulfilment of the claim for damages, as </w:t>
      </w:r>
      <w:r w:rsidR="00021374" w:rsidRPr="00AA7C7F">
        <w:rPr>
          <w:sz w:val="24"/>
          <w:szCs w:val="24"/>
          <w:lang w:val="en-GB"/>
        </w:rPr>
        <w:t>assignment in lieu of the fulfilment</w:t>
      </w:r>
      <w:r w:rsidRPr="00AA7C7F">
        <w:rPr>
          <w:sz w:val="24"/>
          <w:szCs w:val="24"/>
          <w:lang w:val="en-GB"/>
        </w:rPr>
        <w:t xml:space="preserve"> amounts to a waiver within the meaning of § 93 para 4 sent 3 AktG. </w:t>
      </w:r>
      <w:r w:rsidR="00CD4129" w:rsidRPr="00AA7C7F">
        <w:rPr>
          <w:sz w:val="24"/>
          <w:szCs w:val="24"/>
          <w:lang w:val="en-GB"/>
        </w:rPr>
        <w:t xml:space="preserve">These requirements were not met in </w:t>
      </w:r>
      <w:r w:rsidR="00C421E6">
        <w:rPr>
          <w:sz w:val="24"/>
          <w:szCs w:val="24"/>
          <w:lang w:val="en-GB"/>
        </w:rPr>
        <w:t>the</w:t>
      </w:r>
      <w:r w:rsidR="00CD4129" w:rsidRPr="00AA7C7F">
        <w:rPr>
          <w:sz w:val="24"/>
          <w:szCs w:val="24"/>
          <w:lang w:val="en-GB"/>
        </w:rPr>
        <w:t xml:space="preserve"> case decided by the Munich District Court on 20 May 2025</w:t>
      </w:r>
      <w:r w:rsidR="00C421E6">
        <w:rPr>
          <w:sz w:val="24"/>
          <w:szCs w:val="24"/>
          <w:lang w:val="en-GB"/>
        </w:rPr>
        <w:t>,</w:t>
      </w:r>
      <w:r w:rsidR="00CD4129" w:rsidRPr="00AA7C7F">
        <w:rPr>
          <w:sz w:val="24"/>
          <w:szCs w:val="24"/>
          <w:lang w:val="en-GB"/>
        </w:rPr>
        <w:t xml:space="preserve"> which is why the court declared the assignment of the claim for damages against the former </w:t>
      </w:r>
      <w:r w:rsidR="005F6A46">
        <w:rPr>
          <w:sz w:val="24"/>
          <w:szCs w:val="24"/>
          <w:lang w:val="en-GB"/>
        </w:rPr>
        <w:t>executive board member</w:t>
      </w:r>
      <w:r w:rsidR="00CD4129" w:rsidRPr="00AA7C7F">
        <w:rPr>
          <w:sz w:val="24"/>
          <w:szCs w:val="24"/>
          <w:lang w:val="en-GB"/>
        </w:rPr>
        <w:t xml:space="preserve"> in lieu of fulfilment of the claim for damages to be invalid.</w:t>
      </w:r>
      <w:r w:rsidR="00285DC0" w:rsidRPr="00036671">
        <w:rPr>
          <w:vertAlign w:val="superscript"/>
          <w:lang w:val="en-GB"/>
        </w:rPr>
        <w:footnoteReference w:id="22"/>
      </w:r>
    </w:p>
    <w:p w14:paraId="499681A0" w14:textId="72BE543B" w:rsidR="005F6A46" w:rsidRPr="005F6A46" w:rsidRDefault="005F6A46" w:rsidP="005F6A46">
      <w:pPr>
        <w:tabs>
          <w:tab w:val="left" w:pos="426"/>
        </w:tabs>
        <w:rPr>
          <w:b/>
          <w:sz w:val="24"/>
          <w:szCs w:val="24"/>
          <w:lang w:val="en-GB"/>
        </w:rPr>
      </w:pPr>
      <w:r w:rsidRPr="005F6A46">
        <w:rPr>
          <w:b/>
          <w:sz w:val="24"/>
          <w:szCs w:val="24"/>
          <w:lang w:val="en-GB"/>
        </w:rPr>
        <w:t>2.</w:t>
      </w:r>
      <w:r w:rsidRPr="005F6A46">
        <w:rPr>
          <w:b/>
          <w:sz w:val="24"/>
          <w:szCs w:val="24"/>
          <w:lang w:val="en-GB"/>
        </w:rPr>
        <w:tab/>
        <w:t>Assignment on Account of Payment of the Claim for Damages</w:t>
      </w:r>
    </w:p>
    <w:p w14:paraId="3A4FDD53" w14:textId="23561191" w:rsidR="0082227F" w:rsidRPr="00AA7C7F" w:rsidRDefault="0082227F" w:rsidP="0082227F">
      <w:pPr>
        <w:rPr>
          <w:sz w:val="24"/>
          <w:szCs w:val="24"/>
          <w:lang w:val="en-GB"/>
        </w:rPr>
      </w:pPr>
      <w:r w:rsidRPr="00AA7C7F">
        <w:rPr>
          <w:sz w:val="24"/>
          <w:szCs w:val="24"/>
          <w:lang w:val="en-GB"/>
        </w:rPr>
        <w:t>Only an a</w:t>
      </w:r>
      <w:r w:rsidRPr="00AA7C7F">
        <w:rPr>
          <w:bCs/>
          <w:sz w:val="24"/>
          <w:szCs w:val="24"/>
          <w:lang w:val="en-GB"/>
        </w:rPr>
        <w:t xml:space="preserve">ssignment of the claim for indemnification </w:t>
      </w:r>
      <w:r w:rsidRPr="00AA7C7F">
        <w:rPr>
          <w:sz w:val="24"/>
          <w:szCs w:val="24"/>
          <w:lang w:val="en-GB"/>
        </w:rPr>
        <w:t xml:space="preserve">on account of fulfilment of the claim for damages (§ 364 para 2 BGB) is permissible, </w:t>
      </w:r>
      <w:r w:rsidR="00C421E6" w:rsidRPr="00C421E6">
        <w:rPr>
          <w:sz w:val="24"/>
          <w:szCs w:val="24"/>
          <w:lang w:val="en-GB"/>
        </w:rPr>
        <w:t xml:space="preserve">as in this case the </w:t>
      </w:r>
      <w:r w:rsidR="00993D75">
        <w:rPr>
          <w:sz w:val="24"/>
          <w:szCs w:val="24"/>
          <w:lang w:val="en-GB"/>
        </w:rPr>
        <w:t>stock corporation</w:t>
      </w:r>
      <w:r w:rsidR="00C421E6" w:rsidRPr="00C421E6">
        <w:rPr>
          <w:sz w:val="24"/>
          <w:szCs w:val="24"/>
          <w:lang w:val="en-GB"/>
        </w:rPr>
        <w:t xml:space="preserve"> is merely obliged </w:t>
      </w:r>
      <w:r w:rsidRPr="00AA7C7F">
        <w:rPr>
          <w:sz w:val="24"/>
          <w:szCs w:val="24"/>
          <w:lang w:val="en-GB"/>
        </w:rPr>
        <w:t xml:space="preserve">to first assert the claim for payment against the insurer. The </w:t>
      </w:r>
      <w:r w:rsidR="00993D75">
        <w:rPr>
          <w:sz w:val="24"/>
          <w:szCs w:val="24"/>
          <w:lang w:val="en-GB"/>
        </w:rPr>
        <w:t>stock corporation</w:t>
      </w:r>
      <w:r w:rsidRPr="00AA7C7F">
        <w:rPr>
          <w:sz w:val="24"/>
          <w:szCs w:val="24"/>
          <w:lang w:val="en-GB"/>
        </w:rPr>
        <w:t xml:space="preserve"> may only pursue its liability claim against </w:t>
      </w:r>
      <w:r w:rsidR="00C421E6">
        <w:rPr>
          <w:sz w:val="24"/>
          <w:szCs w:val="24"/>
          <w:lang w:val="en-GB"/>
        </w:rPr>
        <w:t>the board member</w:t>
      </w:r>
      <w:r w:rsidR="005F6A46">
        <w:rPr>
          <w:sz w:val="24"/>
          <w:szCs w:val="24"/>
          <w:lang w:val="en-GB"/>
        </w:rPr>
        <w:t>s</w:t>
      </w:r>
      <w:r w:rsidRPr="00AA7C7F">
        <w:rPr>
          <w:sz w:val="24"/>
          <w:szCs w:val="24"/>
          <w:lang w:val="en-GB"/>
        </w:rPr>
        <w:t xml:space="preserve"> once the claim for payment against the insurer has been dismissed.</w:t>
      </w:r>
      <w:r w:rsidR="00285DC0" w:rsidRPr="00036671">
        <w:rPr>
          <w:vertAlign w:val="superscript"/>
          <w:lang w:val="en-GB"/>
        </w:rPr>
        <w:footnoteReference w:id="23"/>
      </w:r>
      <w:r w:rsidRPr="00AA7C7F">
        <w:rPr>
          <w:sz w:val="24"/>
          <w:szCs w:val="24"/>
          <w:lang w:val="en-GB"/>
        </w:rPr>
        <w:t xml:space="preserve"> Until then, the limitation period for the liability claim against the </w:t>
      </w:r>
      <w:r w:rsidR="00C421E6">
        <w:rPr>
          <w:sz w:val="24"/>
          <w:szCs w:val="24"/>
          <w:lang w:val="en-GB"/>
        </w:rPr>
        <w:t>board member</w:t>
      </w:r>
      <w:r w:rsidR="00C421E6" w:rsidRPr="00AA7C7F">
        <w:rPr>
          <w:sz w:val="24"/>
          <w:szCs w:val="24"/>
          <w:lang w:val="en-GB"/>
        </w:rPr>
        <w:t xml:space="preserve"> </w:t>
      </w:r>
      <w:r w:rsidRPr="00AA7C7F">
        <w:rPr>
          <w:sz w:val="24"/>
          <w:szCs w:val="24"/>
          <w:lang w:val="en-GB"/>
        </w:rPr>
        <w:t>is suspended (§ 205 BGB).</w:t>
      </w:r>
      <w:r w:rsidR="00285DC0" w:rsidRPr="00036671">
        <w:rPr>
          <w:vertAlign w:val="superscript"/>
          <w:lang w:val="en-GB"/>
        </w:rPr>
        <w:footnoteReference w:id="24"/>
      </w:r>
    </w:p>
    <w:p w14:paraId="42142774" w14:textId="5D39AAF2" w:rsidR="0088775C" w:rsidRPr="00AA7C7F" w:rsidRDefault="0088775C" w:rsidP="008A26A7">
      <w:pPr>
        <w:tabs>
          <w:tab w:val="left" w:pos="426"/>
        </w:tabs>
        <w:ind w:left="426" w:hanging="426"/>
        <w:rPr>
          <w:b/>
          <w:bCs/>
          <w:sz w:val="24"/>
          <w:szCs w:val="24"/>
          <w:lang w:val="en-US"/>
        </w:rPr>
      </w:pPr>
      <w:r w:rsidRPr="00AA7C7F">
        <w:rPr>
          <w:b/>
          <w:bCs/>
          <w:sz w:val="24"/>
          <w:szCs w:val="24"/>
          <w:lang w:val="en-US"/>
        </w:rPr>
        <w:t>C.</w:t>
      </w:r>
      <w:r w:rsidRPr="00AA7C7F">
        <w:rPr>
          <w:b/>
          <w:bCs/>
          <w:sz w:val="24"/>
          <w:szCs w:val="24"/>
          <w:lang w:val="en-US"/>
        </w:rPr>
        <w:tab/>
        <w:t xml:space="preserve">Recent Case Law on </w:t>
      </w:r>
      <w:r w:rsidR="00923613" w:rsidRPr="00AA7C7F">
        <w:rPr>
          <w:b/>
          <w:bCs/>
          <w:sz w:val="24"/>
          <w:szCs w:val="24"/>
          <w:lang w:val="en-US"/>
        </w:rPr>
        <w:t>‘</w:t>
      </w:r>
      <w:r w:rsidRPr="00AA7C7F">
        <w:rPr>
          <w:b/>
          <w:bCs/>
          <w:sz w:val="24"/>
          <w:szCs w:val="24"/>
          <w:lang w:val="en-US"/>
        </w:rPr>
        <w:t>Side A</w:t>
      </w:r>
      <w:r w:rsidR="00923613" w:rsidRPr="00AA7C7F">
        <w:rPr>
          <w:b/>
          <w:bCs/>
          <w:sz w:val="24"/>
          <w:szCs w:val="24"/>
          <w:lang w:val="en-US"/>
        </w:rPr>
        <w:t xml:space="preserve">’ </w:t>
      </w:r>
      <w:r w:rsidRPr="00AA7C7F">
        <w:rPr>
          <w:b/>
          <w:bCs/>
          <w:sz w:val="24"/>
          <w:szCs w:val="24"/>
          <w:lang w:val="en-US"/>
        </w:rPr>
        <w:t>D&amp;O Insurance</w:t>
      </w:r>
    </w:p>
    <w:p w14:paraId="6F4B3FB8" w14:textId="367B9BCD" w:rsidR="004312C8" w:rsidRDefault="004312C8" w:rsidP="0088775C">
      <w:pPr>
        <w:tabs>
          <w:tab w:val="left" w:pos="426"/>
        </w:tabs>
        <w:rPr>
          <w:bCs/>
          <w:sz w:val="24"/>
          <w:szCs w:val="24"/>
          <w:lang w:val="en-US"/>
        </w:rPr>
      </w:pPr>
      <w:r w:rsidRPr="004312C8">
        <w:rPr>
          <w:bCs/>
          <w:sz w:val="24"/>
          <w:szCs w:val="24"/>
          <w:lang w:val="en-US"/>
        </w:rPr>
        <w:t>D&amp;O insurance in its current form was introduced in Germany in the early 1990s.</w:t>
      </w:r>
      <w:r w:rsidR="000552DC" w:rsidRPr="00036671">
        <w:rPr>
          <w:vertAlign w:val="superscript"/>
          <w:lang w:val="en-GB"/>
        </w:rPr>
        <w:footnoteReference w:id="25"/>
      </w:r>
      <w:r w:rsidRPr="004312C8">
        <w:rPr>
          <w:bCs/>
          <w:sz w:val="24"/>
          <w:szCs w:val="24"/>
          <w:lang w:val="en-US"/>
        </w:rPr>
        <w:t xml:space="preserve"> It is by no means still in its infancy in this country. Nevertheless, there remain a number of contentious legal issues regarding the scope of ‘Side A’ cover. Some of these issues </w:t>
      </w:r>
      <w:r>
        <w:rPr>
          <w:bCs/>
          <w:sz w:val="24"/>
          <w:szCs w:val="24"/>
          <w:lang w:val="en-US"/>
        </w:rPr>
        <w:t>were the</w:t>
      </w:r>
      <w:r w:rsidRPr="004312C8">
        <w:rPr>
          <w:bCs/>
          <w:sz w:val="24"/>
          <w:szCs w:val="24"/>
          <w:lang w:val="en-US"/>
        </w:rPr>
        <w:t xml:space="preserve"> subject of recent </w:t>
      </w:r>
      <w:r>
        <w:rPr>
          <w:bCs/>
          <w:sz w:val="24"/>
          <w:szCs w:val="24"/>
          <w:lang w:val="en-US"/>
        </w:rPr>
        <w:t>rulings</w:t>
      </w:r>
      <w:r w:rsidRPr="004312C8">
        <w:rPr>
          <w:bCs/>
          <w:sz w:val="24"/>
          <w:szCs w:val="24"/>
          <w:lang w:val="en-US"/>
        </w:rPr>
        <w:t xml:space="preserve"> by the Frankfurt Court of Appeal and the Cologne Court of Appeal</w:t>
      </w:r>
      <w:r>
        <w:rPr>
          <w:bCs/>
          <w:sz w:val="24"/>
          <w:szCs w:val="24"/>
          <w:lang w:val="en-US"/>
        </w:rPr>
        <w:t>,</w:t>
      </w:r>
      <w:r w:rsidRPr="004312C8">
        <w:rPr>
          <w:bCs/>
          <w:sz w:val="24"/>
          <w:szCs w:val="24"/>
          <w:lang w:val="en-US"/>
        </w:rPr>
        <w:t xml:space="preserve"> against which the plaintiffs, whose claims were dismissed, have lodged </w:t>
      </w:r>
      <w:r>
        <w:rPr>
          <w:bCs/>
          <w:sz w:val="24"/>
          <w:szCs w:val="24"/>
          <w:lang w:val="en-US"/>
        </w:rPr>
        <w:t xml:space="preserve">appeals with </w:t>
      </w:r>
      <w:r w:rsidRPr="004312C8">
        <w:rPr>
          <w:bCs/>
          <w:sz w:val="24"/>
          <w:szCs w:val="24"/>
          <w:lang w:val="en-US"/>
        </w:rPr>
        <w:t>the BGH. The outcome of these appeal</w:t>
      </w:r>
      <w:r>
        <w:rPr>
          <w:bCs/>
          <w:sz w:val="24"/>
          <w:szCs w:val="24"/>
          <w:lang w:val="en-US"/>
        </w:rPr>
        <w:t xml:space="preserve"> proceedings</w:t>
      </w:r>
      <w:r w:rsidRPr="004312C8">
        <w:rPr>
          <w:bCs/>
          <w:sz w:val="24"/>
          <w:szCs w:val="24"/>
          <w:lang w:val="en-US"/>
        </w:rPr>
        <w:t xml:space="preserve"> will have significant implications for D&amp;O insurance in Germany. The two cases are therefore examined in more detail below.</w:t>
      </w:r>
    </w:p>
    <w:p w14:paraId="3292CAED" w14:textId="409AB32A" w:rsidR="008A26A7" w:rsidRPr="00AA7C7F" w:rsidRDefault="008A26A7" w:rsidP="008A26A7">
      <w:pPr>
        <w:tabs>
          <w:tab w:val="left" w:pos="426"/>
        </w:tabs>
        <w:ind w:left="426" w:hanging="426"/>
        <w:rPr>
          <w:b/>
          <w:bCs/>
          <w:sz w:val="24"/>
          <w:szCs w:val="24"/>
          <w:lang w:val="en-GB"/>
        </w:rPr>
      </w:pPr>
      <w:r w:rsidRPr="00AA7C7F">
        <w:rPr>
          <w:b/>
          <w:bCs/>
          <w:sz w:val="24"/>
          <w:szCs w:val="24"/>
          <w:lang w:val="en-US"/>
        </w:rPr>
        <w:t>I.</w:t>
      </w:r>
      <w:r w:rsidRPr="00AA7C7F">
        <w:rPr>
          <w:b/>
          <w:bCs/>
          <w:sz w:val="24"/>
          <w:szCs w:val="24"/>
          <w:lang w:val="en-US"/>
        </w:rPr>
        <w:tab/>
      </w:r>
      <w:r w:rsidRPr="00AA7C7F">
        <w:rPr>
          <w:b/>
          <w:bCs/>
          <w:sz w:val="24"/>
          <w:szCs w:val="24"/>
          <w:lang w:val="en-GB"/>
        </w:rPr>
        <w:t>Frankfurt Court of Appeal, 29</w:t>
      </w:r>
      <w:r w:rsidR="004312C8">
        <w:rPr>
          <w:b/>
          <w:bCs/>
          <w:sz w:val="24"/>
          <w:szCs w:val="24"/>
          <w:lang w:val="en-GB"/>
        </w:rPr>
        <w:t xml:space="preserve"> November </w:t>
      </w:r>
      <w:r w:rsidRPr="00AA7C7F">
        <w:rPr>
          <w:b/>
          <w:bCs/>
          <w:sz w:val="24"/>
          <w:szCs w:val="24"/>
          <w:lang w:val="en-GB"/>
        </w:rPr>
        <w:t xml:space="preserve">2024 </w:t>
      </w:r>
      <w:r w:rsidR="00C41BAE" w:rsidRPr="00AA7C7F">
        <w:rPr>
          <w:b/>
          <w:bCs/>
          <w:sz w:val="24"/>
          <w:szCs w:val="24"/>
          <w:lang w:val="en-GB"/>
        </w:rPr>
        <w:t>–</w:t>
      </w:r>
      <w:r w:rsidRPr="00AA7C7F">
        <w:rPr>
          <w:b/>
          <w:bCs/>
          <w:sz w:val="24"/>
          <w:szCs w:val="24"/>
          <w:lang w:val="en-GB"/>
        </w:rPr>
        <w:t xml:space="preserve"> 7 U 82/22 (</w:t>
      </w:r>
      <w:r w:rsidR="009344D8" w:rsidRPr="00AA7C7F">
        <w:rPr>
          <w:b/>
          <w:bCs/>
          <w:sz w:val="24"/>
          <w:szCs w:val="24"/>
          <w:lang w:val="en-GB"/>
        </w:rPr>
        <w:t>Wirecard</w:t>
      </w:r>
      <w:r w:rsidRPr="00AA7C7F">
        <w:rPr>
          <w:b/>
          <w:bCs/>
          <w:sz w:val="24"/>
          <w:szCs w:val="24"/>
          <w:lang w:val="en-GB"/>
        </w:rPr>
        <w:t>)</w:t>
      </w:r>
    </w:p>
    <w:p w14:paraId="2F46D5FA" w14:textId="09686EE7" w:rsidR="005058E7" w:rsidRPr="00AA7C7F" w:rsidRDefault="00DE77FF" w:rsidP="008A26A7">
      <w:pPr>
        <w:tabs>
          <w:tab w:val="left" w:pos="426"/>
        </w:tabs>
        <w:rPr>
          <w:bCs/>
          <w:sz w:val="24"/>
          <w:szCs w:val="24"/>
          <w:lang w:val="en-GB"/>
        </w:rPr>
      </w:pPr>
      <w:r w:rsidRPr="00AA7C7F">
        <w:rPr>
          <w:bCs/>
          <w:sz w:val="24"/>
          <w:szCs w:val="24"/>
          <w:lang w:val="en-GB"/>
        </w:rPr>
        <w:t xml:space="preserve">The </w:t>
      </w:r>
      <w:r w:rsidR="0061745A" w:rsidRPr="00AA7C7F">
        <w:rPr>
          <w:bCs/>
          <w:sz w:val="24"/>
          <w:szCs w:val="24"/>
          <w:lang w:val="en-GB"/>
        </w:rPr>
        <w:t xml:space="preserve">case decided by </w:t>
      </w:r>
      <w:r w:rsidRPr="00AA7C7F">
        <w:rPr>
          <w:bCs/>
          <w:sz w:val="24"/>
          <w:szCs w:val="24"/>
          <w:lang w:val="en-GB"/>
        </w:rPr>
        <w:t xml:space="preserve">the Frankfurt Court of Appeal </w:t>
      </w:r>
      <w:r w:rsidR="003213EC">
        <w:rPr>
          <w:bCs/>
          <w:sz w:val="24"/>
          <w:szCs w:val="24"/>
          <w:lang w:val="en-GB"/>
        </w:rPr>
        <w:t xml:space="preserve">deals with </w:t>
      </w:r>
      <w:r w:rsidRPr="00AA7C7F">
        <w:rPr>
          <w:bCs/>
          <w:sz w:val="24"/>
          <w:szCs w:val="24"/>
          <w:lang w:val="en-GB"/>
        </w:rPr>
        <w:t xml:space="preserve">the following issues: </w:t>
      </w:r>
      <w:r w:rsidR="00612A7B">
        <w:rPr>
          <w:bCs/>
          <w:sz w:val="24"/>
          <w:szCs w:val="24"/>
          <w:lang w:val="en-GB"/>
        </w:rPr>
        <w:t xml:space="preserve">1) </w:t>
      </w:r>
      <w:r w:rsidRPr="00AA7C7F">
        <w:rPr>
          <w:bCs/>
          <w:sz w:val="24"/>
          <w:szCs w:val="24"/>
          <w:lang w:val="en-GB"/>
        </w:rPr>
        <w:t xml:space="preserve">What constitutes a valid ‘notice of circumstances’, given that the sum insured amounted to €25 million in 2019, whereas at the time the claim was made in 2020 it stood at €15 million; </w:t>
      </w:r>
      <w:r w:rsidR="00612A7B">
        <w:rPr>
          <w:bCs/>
          <w:sz w:val="24"/>
          <w:szCs w:val="24"/>
          <w:lang w:val="en-GB"/>
        </w:rPr>
        <w:t xml:space="preserve">2) </w:t>
      </w:r>
      <w:r w:rsidRPr="00AA7C7F">
        <w:rPr>
          <w:bCs/>
          <w:sz w:val="24"/>
          <w:szCs w:val="24"/>
          <w:lang w:val="en-GB"/>
        </w:rPr>
        <w:t xml:space="preserve">is a clause valid which provides that the sum insured is to be reduced by all insured costs; and/or </w:t>
      </w:r>
      <w:r w:rsidR="00612A7B">
        <w:rPr>
          <w:bCs/>
          <w:sz w:val="24"/>
          <w:szCs w:val="24"/>
          <w:lang w:val="en-GB"/>
        </w:rPr>
        <w:t xml:space="preserve">3) </w:t>
      </w:r>
      <w:r w:rsidRPr="00AA7C7F">
        <w:rPr>
          <w:bCs/>
          <w:sz w:val="24"/>
          <w:szCs w:val="24"/>
          <w:lang w:val="en-GB"/>
        </w:rPr>
        <w:t xml:space="preserve">how payments that lead to the exhaustion or reduction of the sum insured </w:t>
      </w:r>
      <w:r w:rsidR="005C1377">
        <w:rPr>
          <w:bCs/>
          <w:sz w:val="24"/>
          <w:szCs w:val="24"/>
          <w:lang w:val="en-GB"/>
        </w:rPr>
        <w:t xml:space="preserve">for </w:t>
      </w:r>
      <w:r w:rsidR="005C1377" w:rsidRPr="00AA7C7F">
        <w:rPr>
          <w:sz w:val="24"/>
          <w:szCs w:val="24"/>
          <w:lang w:val="en-GB"/>
        </w:rPr>
        <w:t xml:space="preserve">public relations </w:t>
      </w:r>
      <w:r w:rsidR="005C1377">
        <w:rPr>
          <w:sz w:val="24"/>
          <w:szCs w:val="24"/>
          <w:lang w:val="en-GB"/>
        </w:rPr>
        <w:t xml:space="preserve">(PR) costs </w:t>
      </w:r>
      <w:r w:rsidRPr="00AA7C7F">
        <w:rPr>
          <w:bCs/>
          <w:sz w:val="24"/>
          <w:szCs w:val="24"/>
          <w:lang w:val="en-GB"/>
        </w:rPr>
        <w:t xml:space="preserve">are to be apportioned amongst the </w:t>
      </w:r>
      <w:r w:rsidR="00645D15">
        <w:rPr>
          <w:bCs/>
          <w:sz w:val="24"/>
          <w:szCs w:val="24"/>
          <w:lang w:val="en-GB"/>
        </w:rPr>
        <w:t>co-insureds</w:t>
      </w:r>
      <w:r w:rsidRPr="00AA7C7F">
        <w:rPr>
          <w:bCs/>
          <w:sz w:val="24"/>
          <w:szCs w:val="24"/>
          <w:lang w:val="en-GB"/>
        </w:rPr>
        <w:t>.</w:t>
      </w:r>
    </w:p>
    <w:p w14:paraId="17F72FEA" w14:textId="09D81CBD" w:rsidR="00AD4DB0" w:rsidRPr="00AA7C7F" w:rsidRDefault="008A26A7" w:rsidP="008A26A7">
      <w:pPr>
        <w:tabs>
          <w:tab w:val="left" w:pos="426"/>
        </w:tabs>
        <w:rPr>
          <w:b/>
          <w:sz w:val="24"/>
          <w:szCs w:val="24"/>
          <w:lang w:val="en-GB"/>
        </w:rPr>
      </w:pPr>
      <w:r w:rsidRPr="00AA7C7F">
        <w:rPr>
          <w:b/>
          <w:sz w:val="24"/>
          <w:szCs w:val="24"/>
          <w:lang w:val="en-GB"/>
        </w:rPr>
        <w:t>1.</w:t>
      </w:r>
      <w:r w:rsidR="00825EFD" w:rsidRPr="00AA7C7F">
        <w:rPr>
          <w:b/>
          <w:sz w:val="24"/>
          <w:szCs w:val="24"/>
          <w:lang w:val="en-GB"/>
        </w:rPr>
        <w:tab/>
      </w:r>
      <w:r w:rsidR="00143F55" w:rsidRPr="00AA7C7F">
        <w:rPr>
          <w:b/>
          <w:sz w:val="24"/>
          <w:szCs w:val="24"/>
          <w:lang w:val="en-GB"/>
        </w:rPr>
        <w:t xml:space="preserve">Brief Summary of the </w:t>
      </w:r>
      <w:r w:rsidR="00825EFD" w:rsidRPr="00AA7C7F">
        <w:rPr>
          <w:b/>
          <w:sz w:val="24"/>
          <w:szCs w:val="24"/>
          <w:lang w:val="en-GB"/>
        </w:rPr>
        <w:t>Facts</w:t>
      </w:r>
    </w:p>
    <w:p w14:paraId="2A88AFBF" w14:textId="07D8115C" w:rsidR="00825EFD" w:rsidRPr="00AA7C7F" w:rsidRDefault="00825EFD" w:rsidP="006D24DE">
      <w:pPr>
        <w:rPr>
          <w:sz w:val="24"/>
          <w:szCs w:val="24"/>
          <w:lang w:val="en-GB"/>
        </w:rPr>
      </w:pPr>
      <w:r w:rsidRPr="00AA7C7F">
        <w:rPr>
          <w:sz w:val="24"/>
          <w:szCs w:val="24"/>
          <w:lang w:val="en-US"/>
        </w:rPr>
        <w:t xml:space="preserve">Wirecard, a German payment processor and financial services provider whose former CEO, COO and other executives have been arrested or </w:t>
      </w:r>
      <w:r w:rsidR="009E27FF">
        <w:rPr>
          <w:sz w:val="24"/>
          <w:szCs w:val="24"/>
          <w:lang w:val="en-US"/>
        </w:rPr>
        <w:t xml:space="preserve">are </w:t>
      </w:r>
      <w:r w:rsidRPr="00AA7C7F">
        <w:rPr>
          <w:sz w:val="24"/>
          <w:szCs w:val="24"/>
          <w:lang w:val="en-US"/>
        </w:rPr>
        <w:t xml:space="preserve">otherwise implicated in criminal proceedings </w:t>
      </w:r>
      <w:r w:rsidR="009E27FF">
        <w:rPr>
          <w:sz w:val="24"/>
          <w:szCs w:val="24"/>
          <w:lang w:val="en-US"/>
        </w:rPr>
        <w:t xml:space="preserve">has </w:t>
      </w:r>
      <w:r w:rsidRPr="00AA7C7F">
        <w:rPr>
          <w:sz w:val="24"/>
          <w:szCs w:val="24"/>
          <w:lang w:val="en-US"/>
        </w:rPr>
        <w:t>bec</w:t>
      </w:r>
      <w:r w:rsidR="009E27FF">
        <w:rPr>
          <w:sz w:val="24"/>
          <w:szCs w:val="24"/>
          <w:lang w:val="en-US"/>
        </w:rPr>
        <w:t>o</w:t>
      </w:r>
      <w:r w:rsidRPr="00AA7C7F">
        <w:rPr>
          <w:sz w:val="24"/>
          <w:szCs w:val="24"/>
          <w:lang w:val="en-US"/>
        </w:rPr>
        <w:t xml:space="preserve">me insolvent. The D&amp;O insurance provided cover for </w:t>
      </w:r>
      <w:r w:rsidR="00645D15" w:rsidRPr="00AA7C7F">
        <w:rPr>
          <w:sz w:val="24"/>
          <w:szCs w:val="24"/>
          <w:lang w:val="en-US"/>
        </w:rPr>
        <w:t>PR</w:t>
      </w:r>
      <w:r w:rsidRPr="00AA7C7F">
        <w:rPr>
          <w:sz w:val="24"/>
          <w:szCs w:val="24"/>
          <w:lang w:val="en-US"/>
        </w:rPr>
        <w:t xml:space="preserve"> costs, subject to a sub-limit of €100,000 per </w:t>
      </w:r>
      <w:r w:rsidR="005058E7" w:rsidRPr="00AA7C7F">
        <w:rPr>
          <w:sz w:val="24"/>
          <w:szCs w:val="24"/>
          <w:lang w:val="en-US"/>
        </w:rPr>
        <w:t xml:space="preserve">insured </w:t>
      </w:r>
      <w:r w:rsidRPr="00AA7C7F">
        <w:rPr>
          <w:sz w:val="24"/>
          <w:szCs w:val="24"/>
          <w:lang w:val="en-US"/>
        </w:rPr>
        <w:t xml:space="preserve">person. The total sum insured for the 2020 insurance period amounted to €15 million, including costs for legal </w:t>
      </w:r>
      <w:r w:rsidR="00B4049C">
        <w:rPr>
          <w:sz w:val="24"/>
          <w:szCs w:val="24"/>
          <w:lang w:val="en-US"/>
        </w:rPr>
        <w:t>defence</w:t>
      </w:r>
      <w:r w:rsidRPr="00AA7C7F">
        <w:rPr>
          <w:sz w:val="24"/>
          <w:szCs w:val="24"/>
          <w:lang w:val="en-US"/>
        </w:rPr>
        <w:t xml:space="preserve"> in civil and criminal courts and for PR. </w:t>
      </w:r>
      <w:r w:rsidR="001B6DD2" w:rsidRPr="00AA7C7F">
        <w:rPr>
          <w:sz w:val="24"/>
          <w:szCs w:val="24"/>
          <w:lang w:val="en-US"/>
        </w:rPr>
        <w:t>When the insurer refused to cover a</w:t>
      </w:r>
      <w:r w:rsidR="002027BC">
        <w:rPr>
          <w:sz w:val="24"/>
          <w:szCs w:val="24"/>
          <w:lang w:val="en-US"/>
        </w:rPr>
        <w:t>n executive</w:t>
      </w:r>
      <w:r w:rsidR="001B6DD2" w:rsidRPr="00AA7C7F">
        <w:rPr>
          <w:sz w:val="24"/>
          <w:szCs w:val="24"/>
          <w:lang w:val="en-US"/>
        </w:rPr>
        <w:t xml:space="preserve">’s PR costs on the grounds that the sum insured had been exhausted, the </w:t>
      </w:r>
      <w:r w:rsidR="002027BC">
        <w:rPr>
          <w:sz w:val="24"/>
          <w:szCs w:val="24"/>
          <w:lang w:val="en-US"/>
        </w:rPr>
        <w:t>executive</w:t>
      </w:r>
      <w:r w:rsidR="001B6DD2" w:rsidRPr="00AA7C7F">
        <w:rPr>
          <w:sz w:val="24"/>
          <w:szCs w:val="24"/>
          <w:lang w:val="en-US"/>
        </w:rPr>
        <w:t xml:space="preserve"> sued</w:t>
      </w:r>
      <w:r w:rsidR="00645D15">
        <w:rPr>
          <w:sz w:val="24"/>
          <w:szCs w:val="24"/>
          <w:lang w:val="en-US"/>
        </w:rPr>
        <w:t xml:space="preserve"> the insurer</w:t>
      </w:r>
      <w:r w:rsidR="001B6DD2" w:rsidRPr="00AA7C7F">
        <w:rPr>
          <w:sz w:val="24"/>
          <w:szCs w:val="24"/>
          <w:lang w:val="en-US"/>
        </w:rPr>
        <w:t>.</w:t>
      </w:r>
      <w:r w:rsidR="0058773C" w:rsidRPr="00AA7C7F">
        <w:rPr>
          <w:sz w:val="24"/>
          <w:szCs w:val="24"/>
          <w:lang w:val="en-US"/>
        </w:rPr>
        <w:t xml:space="preserve"> The Frankfurt Court of Appeal</w:t>
      </w:r>
      <w:r w:rsidR="00612A7B">
        <w:rPr>
          <w:sz w:val="24"/>
          <w:szCs w:val="24"/>
          <w:lang w:val="en-US"/>
        </w:rPr>
        <w:t xml:space="preserve"> </w:t>
      </w:r>
      <w:r w:rsidR="0058773C" w:rsidRPr="00AA7C7F">
        <w:rPr>
          <w:sz w:val="24"/>
          <w:szCs w:val="24"/>
          <w:lang w:val="en-US"/>
        </w:rPr>
        <w:t>dismissed the claim.</w:t>
      </w:r>
      <w:r w:rsidR="00645D15" w:rsidRPr="00036671">
        <w:rPr>
          <w:vertAlign w:val="superscript"/>
          <w:lang w:val="en-GB"/>
        </w:rPr>
        <w:footnoteReference w:id="26"/>
      </w:r>
    </w:p>
    <w:p w14:paraId="3ADC2836" w14:textId="43F96B0F" w:rsidR="00DE77FF" w:rsidRPr="00AA7C7F" w:rsidRDefault="00825EFD" w:rsidP="00DE77FF">
      <w:pPr>
        <w:tabs>
          <w:tab w:val="left" w:pos="426"/>
        </w:tabs>
        <w:rPr>
          <w:b/>
          <w:sz w:val="24"/>
          <w:szCs w:val="24"/>
          <w:lang w:val="en-GB"/>
        </w:rPr>
      </w:pPr>
      <w:r w:rsidRPr="00AA7C7F">
        <w:rPr>
          <w:b/>
          <w:sz w:val="24"/>
          <w:szCs w:val="24"/>
          <w:lang w:val="en-GB"/>
        </w:rPr>
        <w:t>2.</w:t>
      </w:r>
      <w:r w:rsidRPr="00AA7C7F">
        <w:rPr>
          <w:b/>
          <w:sz w:val="24"/>
          <w:szCs w:val="24"/>
          <w:lang w:val="en-GB"/>
        </w:rPr>
        <w:tab/>
      </w:r>
      <w:r w:rsidR="0058773C" w:rsidRPr="00AA7C7F">
        <w:rPr>
          <w:b/>
          <w:sz w:val="24"/>
          <w:szCs w:val="24"/>
          <w:lang w:val="en-GB"/>
        </w:rPr>
        <w:t>Decision of the Frankfurt Court of Appeal</w:t>
      </w:r>
    </w:p>
    <w:p w14:paraId="7C9CDCC3" w14:textId="0B050BF4" w:rsidR="00825EFD" w:rsidRPr="00AA7C7F" w:rsidRDefault="00DE77FF" w:rsidP="00DE77FF">
      <w:pPr>
        <w:tabs>
          <w:tab w:val="left" w:pos="426"/>
        </w:tabs>
        <w:rPr>
          <w:b/>
          <w:bCs/>
          <w:sz w:val="24"/>
          <w:szCs w:val="24"/>
          <w:lang w:val="en-US"/>
        </w:rPr>
      </w:pPr>
      <w:r w:rsidRPr="00AA7C7F">
        <w:rPr>
          <w:b/>
          <w:sz w:val="24"/>
          <w:szCs w:val="24"/>
          <w:lang w:val="en-GB"/>
        </w:rPr>
        <w:t>a)</w:t>
      </w:r>
      <w:r w:rsidRPr="00AA7C7F">
        <w:rPr>
          <w:b/>
          <w:sz w:val="24"/>
          <w:szCs w:val="24"/>
          <w:lang w:val="en-GB"/>
        </w:rPr>
        <w:tab/>
      </w:r>
      <w:r w:rsidR="00825EFD" w:rsidRPr="00AA7C7F">
        <w:rPr>
          <w:b/>
          <w:bCs/>
          <w:sz w:val="24"/>
          <w:szCs w:val="24"/>
          <w:lang w:val="en-US"/>
        </w:rPr>
        <w:t xml:space="preserve">Requirements for a </w:t>
      </w:r>
      <w:r w:rsidR="00C41BAE" w:rsidRPr="00AA7C7F">
        <w:rPr>
          <w:b/>
          <w:bCs/>
          <w:sz w:val="24"/>
          <w:szCs w:val="24"/>
          <w:lang w:val="en-US"/>
        </w:rPr>
        <w:t>V</w:t>
      </w:r>
      <w:r w:rsidR="00825EFD" w:rsidRPr="00AA7C7F">
        <w:rPr>
          <w:b/>
          <w:bCs/>
          <w:sz w:val="24"/>
          <w:szCs w:val="24"/>
          <w:lang w:val="en-US"/>
        </w:rPr>
        <w:t xml:space="preserve">alid </w:t>
      </w:r>
      <w:r w:rsidR="00C41BAE" w:rsidRPr="00AA7C7F">
        <w:rPr>
          <w:b/>
          <w:bCs/>
          <w:sz w:val="24"/>
          <w:szCs w:val="24"/>
          <w:lang w:val="en-US"/>
        </w:rPr>
        <w:t>N</w:t>
      </w:r>
      <w:r w:rsidR="00825EFD" w:rsidRPr="00AA7C7F">
        <w:rPr>
          <w:b/>
          <w:bCs/>
          <w:sz w:val="24"/>
          <w:szCs w:val="24"/>
          <w:lang w:val="en-US"/>
        </w:rPr>
        <w:t xml:space="preserve">otice of </w:t>
      </w:r>
      <w:r w:rsidR="00C41BAE" w:rsidRPr="00AA7C7F">
        <w:rPr>
          <w:b/>
          <w:bCs/>
          <w:sz w:val="24"/>
          <w:szCs w:val="24"/>
          <w:lang w:val="en-US"/>
        </w:rPr>
        <w:t>C</w:t>
      </w:r>
      <w:r w:rsidR="00825EFD" w:rsidRPr="00AA7C7F">
        <w:rPr>
          <w:b/>
          <w:bCs/>
          <w:sz w:val="24"/>
          <w:szCs w:val="24"/>
          <w:lang w:val="en-US"/>
        </w:rPr>
        <w:t>ircumstances</w:t>
      </w:r>
    </w:p>
    <w:p w14:paraId="421A4155" w14:textId="77777777" w:rsidR="00976BCD" w:rsidRDefault="00AD255D" w:rsidP="005C3A09">
      <w:pPr>
        <w:tabs>
          <w:tab w:val="left" w:pos="426"/>
        </w:tabs>
        <w:rPr>
          <w:sz w:val="24"/>
          <w:szCs w:val="24"/>
          <w:lang w:val="en-GB"/>
        </w:rPr>
      </w:pPr>
      <w:r w:rsidRPr="00AA7C7F">
        <w:rPr>
          <w:sz w:val="24"/>
          <w:szCs w:val="24"/>
          <w:lang w:val="en-GB"/>
        </w:rPr>
        <w:t xml:space="preserve">The insurance policy stipulates that the notice must contain details of the potential breach of duty, the name of the director, the potential loss, and the potential claimant or potential legal action. </w:t>
      </w:r>
    </w:p>
    <w:p w14:paraId="17F9116C" w14:textId="1A759872" w:rsidR="00825EFD" w:rsidRPr="00AA7C7F" w:rsidRDefault="00DE77FF" w:rsidP="005C3A09">
      <w:pPr>
        <w:tabs>
          <w:tab w:val="left" w:pos="426"/>
        </w:tabs>
        <w:rPr>
          <w:sz w:val="24"/>
          <w:szCs w:val="24"/>
          <w:lang w:val="en-GB"/>
        </w:rPr>
      </w:pPr>
      <w:r w:rsidRPr="00AA7C7F">
        <w:rPr>
          <w:sz w:val="24"/>
          <w:szCs w:val="24"/>
          <w:lang w:val="en-GB"/>
        </w:rPr>
        <w:t xml:space="preserve">According to </w:t>
      </w:r>
      <w:r w:rsidR="00AD255D" w:rsidRPr="00AA7C7F">
        <w:rPr>
          <w:sz w:val="24"/>
          <w:szCs w:val="24"/>
          <w:lang w:val="en-GB"/>
        </w:rPr>
        <w:t>the Frankfurt Court of Appeal, in order to meet these requirements, the potential liability must be set out in sufficient detail to enable the insurer to calculate its current liability risk</w:t>
      </w:r>
      <w:r w:rsidR="00855F42">
        <w:rPr>
          <w:sz w:val="24"/>
          <w:szCs w:val="24"/>
          <w:lang w:val="en-GB"/>
        </w:rPr>
        <w:t xml:space="preserve"> </w:t>
      </w:r>
      <w:r w:rsidR="00855F42" w:rsidRPr="00855F42">
        <w:rPr>
          <w:sz w:val="24"/>
          <w:szCs w:val="24"/>
          <w:lang w:val="en-GB"/>
        </w:rPr>
        <w:t>and set aside provisions.</w:t>
      </w:r>
      <w:r w:rsidR="00AD255D" w:rsidRPr="00AA7C7F">
        <w:rPr>
          <w:sz w:val="24"/>
          <w:szCs w:val="24"/>
          <w:lang w:val="en-GB"/>
        </w:rPr>
        <w:t xml:space="preserve"> </w:t>
      </w:r>
      <w:r w:rsidR="00992B9D" w:rsidRPr="00992B9D">
        <w:rPr>
          <w:sz w:val="24"/>
          <w:szCs w:val="24"/>
          <w:lang w:val="en-GB"/>
        </w:rPr>
        <w:t>The notice must therefore include details of the person against whom the infringement was committed, as well as the extent of any damage that person may have suffered</w:t>
      </w:r>
      <w:r w:rsidR="00AD255D" w:rsidRPr="00AA7C7F">
        <w:rPr>
          <w:sz w:val="24"/>
          <w:szCs w:val="24"/>
          <w:lang w:val="en-GB"/>
        </w:rPr>
        <w:t>.</w:t>
      </w:r>
      <w:r w:rsidR="00992B9D" w:rsidRPr="00036671">
        <w:rPr>
          <w:vertAlign w:val="superscript"/>
          <w:lang w:val="en-GB"/>
        </w:rPr>
        <w:footnoteReference w:id="27"/>
      </w:r>
      <w:r w:rsidR="00AD255D" w:rsidRPr="00AA7C7F">
        <w:rPr>
          <w:sz w:val="24"/>
          <w:szCs w:val="24"/>
          <w:lang w:val="en-GB"/>
        </w:rPr>
        <w:t xml:space="preserve"> In the view of the Frankfurt Court of Appeal, these requirements were not met in the present case, as the notice in 2019 merely referred to an article in the Financial Times in which concerns were expressed regarding suspicious transactions and alleged actions by a member of the company's finance team in Singapore, as well as to a class action lawsuit filed in the US District Court for California seeking damages for alleged breaches of US securities laws, and to investigations by the authorities in Singapore into the aforementioned circumstances and allegations.</w:t>
      </w:r>
      <w:r w:rsidR="00992B9D" w:rsidRPr="00036671">
        <w:rPr>
          <w:vertAlign w:val="superscript"/>
          <w:lang w:val="en-GB"/>
        </w:rPr>
        <w:footnoteReference w:id="28"/>
      </w:r>
    </w:p>
    <w:p w14:paraId="0FCDD460" w14:textId="28C66E85" w:rsidR="00825EFD" w:rsidRPr="00AA7C7F" w:rsidRDefault="00825EFD" w:rsidP="00825EFD">
      <w:pPr>
        <w:tabs>
          <w:tab w:val="left" w:pos="426"/>
        </w:tabs>
        <w:ind w:left="426" w:hanging="426"/>
        <w:rPr>
          <w:sz w:val="24"/>
          <w:szCs w:val="24"/>
          <w:lang w:val="en-GB"/>
        </w:rPr>
      </w:pPr>
      <w:r w:rsidRPr="00AA7C7F">
        <w:rPr>
          <w:b/>
          <w:bCs/>
          <w:sz w:val="24"/>
          <w:szCs w:val="24"/>
          <w:lang w:val="en-US"/>
        </w:rPr>
        <w:t>b)</w:t>
      </w:r>
      <w:r w:rsidRPr="00AA7C7F">
        <w:rPr>
          <w:b/>
          <w:bCs/>
          <w:sz w:val="24"/>
          <w:szCs w:val="24"/>
          <w:lang w:val="en-US"/>
        </w:rPr>
        <w:tab/>
        <w:t>Validity of the ‘</w:t>
      </w:r>
      <w:r w:rsidR="005F6A46">
        <w:rPr>
          <w:b/>
          <w:bCs/>
          <w:sz w:val="24"/>
          <w:szCs w:val="24"/>
          <w:lang w:val="en-US"/>
        </w:rPr>
        <w:t>C</w:t>
      </w:r>
      <w:r w:rsidRPr="00AA7C7F">
        <w:rPr>
          <w:b/>
          <w:bCs/>
          <w:sz w:val="24"/>
          <w:szCs w:val="24"/>
          <w:lang w:val="en-US"/>
        </w:rPr>
        <w:t xml:space="preserve">ost </w:t>
      </w:r>
      <w:r w:rsidR="005F6A46">
        <w:rPr>
          <w:b/>
          <w:bCs/>
          <w:sz w:val="24"/>
          <w:szCs w:val="24"/>
          <w:lang w:val="en-US"/>
        </w:rPr>
        <w:t>I</w:t>
      </w:r>
      <w:r w:rsidRPr="00AA7C7F">
        <w:rPr>
          <w:b/>
          <w:bCs/>
          <w:sz w:val="24"/>
          <w:szCs w:val="24"/>
          <w:lang w:val="en-US"/>
        </w:rPr>
        <w:t xml:space="preserve">nclusive’ </w:t>
      </w:r>
      <w:r w:rsidR="005F6A46">
        <w:rPr>
          <w:b/>
          <w:bCs/>
          <w:sz w:val="24"/>
          <w:szCs w:val="24"/>
          <w:lang w:val="en-US"/>
        </w:rPr>
        <w:t>C</w:t>
      </w:r>
      <w:r w:rsidRPr="00AA7C7F">
        <w:rPr>
          <w:b/>
          <w:bCs/>
          <w:sz w:val="24"/>
          <w:szCs w:val="24"/>
          <w:lang w:val="en-US"/>
        </w:rPr>
        <w:t>lause</w:t>
      </w:r>
      <w:bookmarkStart w:id="1" w:name="_Hlk229605201"/>
    </w:p>
    <w:p w14:paraId="7F159738" w14:textId="66331D60" w:rsidR="00DE77FF" w:rsidRDefault="00AD255D" w:rsidP="00CC7CDB">
      <w:pPr>
        <w:tabs>
          <w:tab w:val="left" w:pos="426"/>
        </w:tabs>
        <w:rPr>
          <w:sz w:val="24"/>
          <w:szCs w:val="24"/>
          <w:lang w:val="en-US"/>
        </w:rPr>
      </w:pPr>
      <w:r w:rsidRPr="00AA7C7F">
        <w:rPr>
          <w:sz w:val="24"/>
          <w:szCs w:val="24"/>
          <w:lang w:val="en-US"/>
        </w:rPr>
        <w:t xml:space="preserve">The </w:t>
      </w:r>
      <w:r w:rsidR="00825EFD" w:rsidRPr="00AA7C7F">
        <w:rPr>
          <w:sz w:val="24"/>
          <w:szCs w:val="24"/>
          <w:lang w:val="en-US"/>
        </w:rPr>
        <w:t xml:space="preserve">German Insurance Act </w:t>
      </w:r>
      <w:r w:rsidR="00DE77FF" w:rsidRPr="00AA7C7F">
        <w:rPr>
          <w:sz w:val="24"/>
          <w:szCs w:val="24"/>
          <w:lang w:val="en-US"/>
        </w:rPr>
        <w:t xml:space="preserve">(VVG) </w:t>
      </w:r>
      <w:r w:rsidR="00CC7CDB" w:rsidRPr="00AA7C7F">
        <w:rPr>
          <w:sz w:val="24"/>
          <w:szCs w:val="24"/>
          <w:lang w:val="en-US"/>
        </w:rPr>
        <w:t xml:space="preserve">provides that liability insurance shall cover </w:t>
      </w:r>
      <w:r w:rsidR="0049583D">
        <w:rPr>
          <w:sz w:val="24"/>
          <w:szCs w:val="24"/>
          <w:lang w:val="en-US"/>
        </w:rPr>
        <w:t xml:space="preserve">defence </w:t>
      </w:r>
      <w:r w:rsidR="00CC7CDB" w:rsidRPr="00AA7C7F">
        <w:rPr>
          <w:sz w:val="24"/>
          <w:szCs w:val="24"/>
          <w:lang w:val="en-US"/>
        </w:rPr>
        <w:t xml:space="preserve">costs, even if these costs, together with the amount required to compensate the injured party, exceed the sum insured (§ 101 para 2 </w:t>
      </w:r>
      <w:r w:rsidR="004853B3">
        <w:rPr>
          <w:sz w:val="24"/>
          <w:szCs w:val="24"/>
          <w:lang w:val="en-US"/>
        </w:rPr>
        <w:t xml:space="preserve">sent 1 </w:t>
      </w:r>
      <w:r w:rsidR="00CC7CDB" w:rsidRPr="00AA7C7F">
        <w:rPr>
          <w:sz w:val="24"/>
          <w:szCs w:val="24"/>
          <w:lang w:val="en-US"/>
        </w:rPr>
        <w:t xml:space="preserve">VVG). </w:t>
      </w:r>
      <w:r w:rsidR="009E27FF">
        <w:rPr>
          <w:sz w:val="24"/>
          <w:szCs w:val="24"/>
          <w:lang w:val="en-US"/>
        </w:rPr>
        <w:t xml:space="preserve">However, </w:t>
      </w:r>
      <w:r w:rsidR="00CC7CDB" w:rsidRPr="00AA7C7F">
        <w:rPr>
          <w:sz w:val="24"/>
          <w:szCs w:val="24"/>
          <w:lang w:val="en-US"/>
        </w:rPr>
        <w:t xml:space="preserve">D&amp;O insurance contract practice deviates from this rule, as it is agreed that </w:t>
      </w:r>
      <w:r w:rsidR="0049583D">
        <w:rPr>
          <w:sz w:val="24"/>
          <w:szCs w:val="24"/>
          <w:lang w:val="en-US"/>
        </w:rPr>
        <w:t>d</w:t>
      </w:r>
      <w:r w:rsidR="004853B3">
        <w:rPr>
          <w:sz w:val="24"/>
          <w:szCs w:val="24"/>
          <w:lang w:val="en-US"/>
        </w:rPr>
        <w:t>e</w:t>
      </w:r>
      <w:r w:rsidR="0049583D">
        <w:rPr>
          <w:sz w:val="24"/>
          <w:szCs w:val="24"/>
          <w:lang w:val="en-US"/>
        </w:rPr>
        <w:t>fen</w:t>
      </w:r>
      <w:r w:rsidR="004853B3">
        <w:rPr>
          <w:sz w:val="24"/>
          <w:szCs w:val="24"/>
          <w:lang w:val="en-US"/>
        </w:rPr>
        <w:t>c</w:t>
      </w:r>
      <w:r w:rsidR="0049583D">
        <w:rPr>
          <w:sz w:val="24"/>
          <w:szCs w:val="24"/>
          <w:lang w:val="en-US"/>
        </w:rPr>
        <w:t xml:space="preserve">e costs are </w:t>
      </w:r>
      <w:r w:rsidR="0049583D" w:rsidRPr="0049583D">
        <w:rPr>
          <w:sz w:val="24"/>
          <w:szCs w:val="24"/>
          <w:lang w:val="en-GB"/>
        </w:rPr>
        <w:t xml:space="preserve">deducted from the total policy limit, rather </w:t>
      </w:r>
      <w:r w:rsidR="004853B3" w:rsidRPr="004853B3">
        <w:rPr>
          <w:sz w:val="24"/>
          <w:szCs w:val="24"/>
          <w:lang w:val="en-US"/>
        </w:rPr>
        <w:t>than being paid in addition to the defence costs</w:t>
      </w:r>
      <w:r w:rsidR="004853B3" w:rsidRPr="0049583D">
        <w:rPr>
          <w:sz w:val="24"/>
          <w:szCs w:val="24"/>
          <w:lang w:val="en-GB"/>
        </w:rPr>
        <w:t xml:space="preserve"> </w:t>
      </w:r>
      <w:r w:rsidR="00CC7CDB" w:rsidRPr="00AA7C7F">
        <w:rPr>
          <w:sz w:val="24"/>
          <w:szCs w:val="24"/>
          <w:lang w:val="en-US"/>
        </w:rPr>
        <w:t>(‘cost-inclusive’ clause).</w:t>
      </w:r>
      <w:r w:rsidR="00992B9D" w:rsidRPr="00036671">
        <w:rPr>
          <w:vertAlign w:val="superscript"/>
          <w:lang w:val="en-GB"/>
        </w:rPr>
        <w:footnoteReference w:id="29"/>
      </w:r>
    </w:p>
    <w:p w14:paraId="604F9DE3" w14:textId="2DF6742C" w:rsidR="006524D0" w:rsidRDefault="00CC7CDB" w:rsidP="00CC7CDB">
      <w:pPr>
        <w:tabs>
          <w:tab w:val="left" w:pos="426"/>
        </w:tabs>
        <w:rPr>
          <w:sz w:val="24"/>
          <w:szCs w:val="24"/>
          <w:lang w:val="en-US"/>
        </w:rPr>
      </w:pPr>
      <w:r w:rsidRPr="00AA7C7F">
        <w:rPr>
          <w:sz w:val="24"/>
          <w:szCs w:val="24"/>
          <w:lang w:val="en-US"/>
        </w:rPr>
        <w:t xml:space="preserve">The validity of the ‘cost-inclusive’ clause is disputed. </w:t>
      </w:r>
      <w:r w:rsidR="00C804AA" w:rsidRPr="00AA7C7F">
        <w:rPr>
          <w:sz w:val="24"/>
          <w:szCs w:val="24"/>
          <w:lang w:val="en-US"/>
        </w:rPr>
        <w:t xml:space="preserve">Some legal scholars take the view that the insurer, which ultimately decides whether to indemnify </w:t>
      </w:r>
      <w:r w:rsidR="00992B9D">
        <w:rPr>
          <w:sz w:val="24"/>
          <w:szCs w:val="24"/>
          <w:lang w:val="en-US"/>
        </w:rPr>
        <w:t>board member</w:t>
      </w:r>
      <w:r w:rsidR="007F0132">
        <w:rPr>
          <w:sz w:val="24"/>
          <w:szCs w:val="24"/>
          <w:lang w:val="en-US"/>
        </w:rPr>
        <w:t>s</w:t>
      </w:r>
      <w:r w:rsidR="00C804AA" w:rsidRPr="00AA7C7F">
        <w:rPr>
          <w:sz w:val="24"/>
          <w:szCs w:val="24"/>
          <w:lang w:val="en-US"/>
        </w:rPr>
        <w:t xml:space="preserve"> by making a payment to the company or to defend </w:t>
      </w:r>
      <w:r w:rsidR="004853B3">
        <w:rPr>
          <w:sz w:val="24"/>
          <w:szCs w:val="24"/>
          <w:lang w:val="en-US"/>
        </w:rPr>
        <w:t>them</w:t>
      </w:r>
      <w:r w:rsidR="00C804AA" w:rsidRPr="00AA7C7F">
        <w:rPr>
          <w:sz w:val="24"/>
          <w:szCs w:val="24"/>
          <w:lang w:val="en-US"/>
        </w:rPr>
        <w:t>, acts at its own risk when assessing the company’s claim against</w:t>
      </w:r>
      <w:r w:rsidR="007F0132">
        <w:rPr>
          <w:sz w:val="24"/>
          <w:szCs w:val="24"/>
          <w:lang w:val="en-US"/>
        </w:rPr>
        <w:t xml:space="preserve"> </w:t>
      </w:r>
      <w:r w:rsidR="004853B3">
        <w:rPr>
          <w:sz w:val="24"/>
          <w:szCs w:val="24"/>
          <w:lang w:val="en-US"/>
        </w:rPr>
        <w:t xml:space="preserve">the </w:t>
      </w:r>
      <w:r w:rsidR="007F0132">
        <w:rPr>
          <w:sz w:val="24"/>
          <w:szCs w:val="24"/>
          <w:lang w:val="en-US"/>
        </w:rPr>
        <w:t>board members</w:t>
      </w:r>
      <w:r w:rsidR="00C804AA" w:rsidRPr="00AA7C7F">
        <w:rPr>
          <w:sz w:val="24"/>
          <w:szCs w:val="24"/>
          <w:lang w:val="en-US"/>
        </w:rPr>
        <w:t xml:space="preserve">. Should this assessment prove to be incorrect, because the court considers the company’s claim for damages to be well-founded, unlike the insurer, deducting the </w:t>
      </w:r>
      <w:r w:rsidR="00B4049C">
        <w:rPr>
          <w:sz w:val="24"/>
          <w:szCs w:val="24"/>
          <w:lang w:val="en-US"/>
        </w:rPr>
        <w:t>defence</w:t>
      </w:r>
      <w:r w:rsidR="00C804AA" w:rsidRPr="00AA7C7F">
        <w:rPr>
          <w:sz w:val="24"/>
          <w:szCs w:val="24"/>
          <w:lang w:val="en-US"/>
        </w:rPr>
        <w:t xml:space="preserve"> costs from the sum insured would shift this risk onto </w:t>
      </w:r>
      <w:r w:rsidR="004853B3">
        <w:rPr>
          <w:sz w:val="24"/>
          <w:szCs w:val="24"/>
          <w:lang w:val="en-US"/>
        </w:rPr>
        <w:t xml:space="preserve">the </w:t>
      </w:r>
      <w:r w:rsidR="00992B9D">
        <w:rPr>
          <w:sz w:val="24"/>
          <w:szCs w:val="24"/>
          <w:lang w:val="en-US"/>
        </w:rPr>
        <w:t>board member</w:t>
      </w:r>
      <w:r w:rsidR="007F0132">
        <w:rPr>
          <w:sz w:val="24"/>
          <w:szCs w:val="24"/>
          <w:lang w:val="en-US"/>
        </w:rPr>
        <w:t>s</w:t>
      </w:r>
      <w:r w:rsidR="00C804AA" w:rsidRPr="00AA7C7F">
        <w:rPr>
          <w:sz w:val="24"/>
          <w:szCs w:val="24"/>
          <w:lang w:val="en-US"/>
        </w:rPr>
        <w:t>. This would result in an unreasonable disadvantage for the</w:t>
      </w:r>
      <w:r w:rsidR="004853B3">
        <w:rPr>
          <w:sz w:val="24"/>
          <w:szCs w:val="24"/>
          <w:lang w:val="en-US"/>
        </w:rPr>
        <w:t>m</w:t>
      </w:r>
      <w:r w:rsidR="00C804AA" w:rsidRPr="00AA7C7F">
        <w:rPr>
          <w:sz w:val="24"/>
          <w:szCs w:val="24"/>
          <w:lang w:val="en-US"/>
        </w:rPr>
        <w:t xml:space="preserve">, which is why the clause is invalid </w:t>
      </w:r>
      <w:bookmarkEnd w:id="1"/>
      <w:r w:rsidR="006524D0">
        <w:rPr>
          <w:sz w:val="24"/>
          <w:szCs w:val="24"/>
          <w:lang w:val="en-US"/>
        </w:rPr>
        <w:t>pursuant to § 307 para 1 sent 1BGB.</w:t>
      </w:r>
      <w:r w:rsidR="006524D0" w:rsidRPr="006524D0">
        <w:rPr>
          <w:sz w:val="24"/>
          <w:szCs w:val="24"/>
          <w:lang w:val="en-US"/>
        </w:rPr>
        <w:t xml:space="preserve"> Under </w:t>
      </w:r>
      <w:r w:rsidR="006524D0">
        <w:rPr>
          <w:sz w:val="24"/>
          <w:szCs w:val="24"/>
          <w:lang w:val="en-US"/>
        </w:rPr>
        <w:t>§</w:t>
      </w:r>
      <w:r w:rsidR="006524D0" w:rsidRPr="006524D0">
        <w:rPr>
          <w:sz w:val="24"/>
          <w:szCs w:val="24"/>
          <w:lang w:val="en-US"/>
        </w:rPr>
        <w:t xml:space="preserve"> 307</w:t>
      </w:r>
      <w:r w:rsidR="006524D0">
        <w:rPr>
          <w:sz w:val="24"/>
          <w:szCs w:val="24"/>
          <w:lang w:val="en-US"/>
        </w:rPr>
        <w:t xml:space="preserve"> para 2 no 1</w:t>
      </w:r>
      <w:r w:rsidR="005C1377">
        <w:rPr>
          <w:sz w:val="24"/>
          <w:szCs w:val="24"/>
          <w:lang w:val="en-US"/>
        </w:rPr>
        <w:t xml:space="preserve"> BGB</w:t>
      </w:r>
      <w:r w:rsidR="006524D0" w:rsidRPr="006524D0">
        <w:rPr>
          <w:sz w:val="24"/>
          <w:szCs w:val="24"/>
          <w:lang w:val="en-US"/>
        </w:rPr>
        <w:t xml:space="preserve">, an unreasonable disadvantage, leading to invalidity, is to be assumed if a </w:t>
      </w:r>
      <w:r w:rsidR="004853B3">
        <w:rPr>
          <w:sz w:val="24"/>
          <w:szCs w:val="24"/>
          <w:lang w:val="en-US"/>
        </w:rPr>
        <w:t xml:space="preserve">standard term and condition </w:t>
      </w:r>
      <w:r w:rsidR="006524D0" w:rsidRPr="006524D0">
        <w:rPr>
          <w:sz w:val="24"/>
          <w:szCs w:val="24"/>
          <w:lang w:val="en-US"/>
        </w:rPr>
        <w:t>is not compatible with the essential principles of the statutory provision from which it deviates.</w:t>
      </w:r>
      <w:r w:rsidR="006524D0" w:rsidRPr="00036671">
        <w:rPr>
          <w:vertAlign w:val="superscript"/>
          <w:lang w:val="en-GB"/>
        </w:rPr>
        <w:footnoteReference w:id="30"/>
      </w:r>
    </w:p>
    <w:p w14:paraId="69CDBF3F" w14:textId="62277279" w:rsidR="005444C8" w:rsidRPr="00AA7C7F" w:rsidRDefault="00A554DE" w:rsidP="00CC7CDB">
      <w:pPr>
        <w:tabs>
          <w:tab w:val="left" w:pos="426"/>
        </w:tabs>
        <w:rPr>
          <w:sz w:val="24"/>
          <w:szCs w:val="24"/>
          <w:lang w:val="en-GB"/>
        </w:rPr>
      </w:pPr>
      <w:r w:rsidRPr="00AA7C7F">
        <w:rPr>
          <w:sz w:val="24"/>
          <w:szCs w:val="24"/>
          <w:lang w:val="en-US"/>
        </w:rPr>
        <w:t xml:space="preserve">Whilst the Frankfurt Court </w:t>
      </w:r>
      <w:r w:rsidR="00A47C1B" w:rsidRPr="00AA7C7F">
        <w:rPr>
          <w:sz w:val="24"/>
          <w:szCs w:val="24"/>
          <w:lang w:val="en-US"/>
        </w:rPr>
        <w:t xml:space="preserve">of Appeal </w:t>
      </w:r>
      <w:r w:rsidRPr="00AA7C7F">
        <w:rPr>
          <w:sz w:val="24"/>
          <w:szCs w:val="24"/>
          <w:lang w:val="en-US"/>
        </w:rPr>
        <w:t xml:space="preserve">followed this line of argument in its </w:t>
      </w:r>
      <w:r w:rsidR="004853B3">
        <w:rPr>
          <w:sz w:val="24"/>
          <w:szCs w:val="24"/>
          <w:lang w:val="en-US"/>
        </w:rPr>
        <w:t>decision</w:t>
      </w:r>
      <w:r w:rsidRPr="00AA7C7F">
        <w:rPr>
          <w:sz w:val="24"/>
          <w:szCs w:val="24"/>
          <w:lang w:val="en-US"/>
        </w:rPr>
        <w:t xml:space="preserve"> of 9 June 2011,</w:t>
      </w:r>
      <w:r w:rsidR="00992B9D" w:rsidRPr="00036671">
        <w:rPr>
          <w:vertAlign w:val="superscript"/>
          <w:lang w:val="en-GB"/>
        </w:rPr>
        <w:footnoteReference w:id="31"/>
      </w:r>
      <w:r w:rsidRPr="00AA7C7F">
        <w:rPr>
          <w:sz w:val="24"/>
          <w:szCs w:val="24"/>
          <w:lang w:val="en-US"/>
        </w:rPr>
        <w:t xml:space="preserve"> it </w:t>
      </w:r>
      <w:r w:rsidR="00724C96" w:rsidRPr="00AA7C7F">
        <w:rPr>
          <w:sz w:val="24"/>
          <w:szCs w:val="24"/>
          <w:lang w:val="en-US"/>
        </w:rPr>
        <w:t xml:space="preserve">has </w:t>
      </w:r>
      <w:r w:rsidRPr="00AA7C7F">
        <w:rPr>
          <w:sz w:val="24"/>
          <w:szCs w:val="24"/>
          <w:lang w:val="en-US"/>
        </w:rPr>
        <w:t xml:space="preserve">changed its position in its judgment of 29 November </w:t>
      </w:r>
      <w:r w:rsidR="00E32180">
        <w:rPr>
          <w:sz w:val="24"/>
          <w:szCs w:val="24"/>
          <w:lang w:val="en-US"/>
        </w:rPr>
        <w:t>2024</w:t>
      </w:r>
      <w:r w:rsidRPr="00AA7C7F">
        <w:rPr>
          <w:sz w:val="24"/>
          <w:szCs w:val="24"/>
          <w:lang w:val="en-US"/>
        </w:rPr>
        <w:t xml:space="preserve"> and ruled that a</w:t>
      </w:r>
      <w:r w:rsidR="004853B3">
        <w:rPr>
          <w:sz w:val="24"/>
          <w:szCs w:val="24"/>
          <w:lang w:val="en-US"/>
        </w:rPr>
        <w:t>n</w:t>
      </w:r>
      <w:r w:rsidRPr="00AA7C7F">
        <w:rPr>
          <w:sz w:val="24"/>
          <w:szCs w:val="24"/>
          <w:lang w:val="en-US"/>
        </w:rPr>
        <w:t xml:space="preserve"> ‘costs inclusive’ clause, under which payments for legal </w:t>
      </w:r>
      <w:r w:rsidR="00B4049C">
        <w:rPr>
          <w:sz w:val="24"/>
          <w:szCs w:val="24"/>
          <w:lang w:val="en-US"/>
        </w:rPr>
        <w:t>defence</w:t>
      </w:r>
      <w:r w:rsidRPr="00AA7C7F">
        <w:rPr>
          <w:sz w:val="24"/>
          <w:szCs w:val="24"/>
          <w:lang w:val="en-US"/>
        </w:rPr>
        <w:t xml:space="preserve"> costs reduce the total sum insured, is valid.</w:t>
      </w:r>
      <w:r w:rsidR="00992B9D" w:rsidRPr="00036671">
        <w:rPr>
          <w:vertAlign w:val="superscript"/>
          <w:lang w:val="en-GB"/>
        </w:rPr>
        <w:footnoteReference w:id="32"/>
      </w:r>
      <w:r w:rsidRPr="00AA7C7F">
        <w:rPr>
          <w:sz w:val="24"/>
          <w:szCs w:val="24"/>
          <w:lang w:val="en-US"/>
        </w:rPr>
        <w:t xml:space="preserve"> </w:t>
      </w:r>
      <w:r w:rsidR="00A47C1B" w:rsidRPr="00AA7C7F">
        <w:rPr>
          <w:sz w:val="24"/>
          <w:szCs w:val="24"/>
          <w:lang w:val="en-US"/>
        </w:rPr>
        <w:t xml:space="preserve">According to the Frankfurt Court of Appeal the shift of the risk onto the </w:t>
      </w:r>
      <w:r w:rsidR="00992B9D">
        <w:rPr>
          <w:sz w:val="24"/>
          <w:szCs w:val="24"/>
          <w:lang w:val="en-US"/>
        </w:rPr>
        <w:t>board member</w:t>
      </w:r>
      <w:r w:rsidR="005444C8">
        <w:rPr>
          <w:sz w:val="24"/>
          <w:szCs w:val="24"/>
          <w:lang w:val="en-US"/>
        </w:rPr>
        <w:t>s</w:t>
      </w:r>
      <w:r w:rsidR="00A47C1B" w:rsidRPr="00AA7C7F">
        <w:rPr>
          <w:sz w:val="24"/>
          <w:szCs w:val="24"/>
          <w:lang w:val="en-US"/>
        </w:rPr>
        <w:t xml:space="preserve"> is justified </w:t>
      </w:r>
      <w:r w:rsidR="008D7417" w:rsidRPr="00AA7C7F">
        <w:rPr>
          <w:sz w:val="24"/>
          <w:szCs w:val="24"/>
          <w:lang w:val="en-US"/>
        </w:rPr>
        <w:t xml:space="preserve">because </w:t>
      </w:r>
      <w:r w:rsidR="00A47C1B" w:rsidRPr="00AA7C7F">
        <w:rPr>
          <w:sz w:val="24"/>
          <w:szCs w:val="24"/>
          <w:lang w:val="en-US"/>
        </w:rPr>
        <w:t>t</w:t>
      </w:r>
      <w:r w:rsidR="00A47C1B" w:rsidRPr="00AA7C7F">
        <w:rPr>
          <w:sz w:val="24"/>
          <w:szCs w:val="24"/>
          <w:lang w:val="en-GB"/>
        </w:rPr>
        <w:t>he factual and legal situation in D&amp;O insurance</w:t>
      </w:r>
      <w:r w:rsidR="008D7417" w:rsidRPr="00AA7C7F">
        <w:rPr>
          <w:sz w:val="24"/>
          <w:szCs w:val="24"/>
          <w:lang w:val="en-GB"/>
        </w:rPr>
        <w:t xml:space="preserve"> is different from other forms of liability insurance such as personal liability insurance since it would </w:t>
      </w:r>
      <w:r w:rsidR="00A47C1B" w:rsidRPr="00AA7C7F">
        <w:rPr>
          <w:sz w:val="24"/>
          <w:szCs w:val="24"/>
          <w:lang w:val="en-GB"/>
        </w:rPr>
        <w:t>typically involve high and, moreover, unforeseeable defence costs</w:t>
      </w:r>
      <w:r w:rsidR="00721F88">
        <w:rPr>
          <w:sz w:val="24"/>
          <w:szCs w:val="24"/>
          <w:lang w:val="en-GB"/>
        </w:rPr>
        <w:t>.</w:t>
      </w:r>
      <w:r w:rsidR="005444C8" w:rsidRPr="00036671">
        <w:rPr>
          <w:vertAlign w:val="superscript"/>
          <w:lang w:val="en-GB"/>
        </w:rPr>
        <w:footnoteReference w:id="33"/>
      </w:r>
    </w:p>
    <w:p w14:paraId="37A632B0" w14:textId="075803D0" w:rsidR="00247D16" w:rsidRPr="00AA7C7F" w:rsidRDefault="009F25A4" w:rsidP="00CC7CDB">
      <w:pPr>
        <w:tabs>
          <w:tab w:val="left" w:pos="426"/>
        </w:tabs>
        <w:rPr>
          <w:sz w:val="24"/>
          <w:szCs w:val="24"/>
          <w:lang w:val="en-GB"/>
        </w:rPr>
      </w:pPr>
      <w:r w:rsidRPr="009F25A4">
        <w:rPr>
          <w:sz w:val="24"/>
          <w:szCs w:val="24"/>
          <w:lang w:val="en-GB"/>
        </w:rPr>
        <w:t>This assessment seems to be quite accurate</w:t>
      </w:r>
      <w:r>
        <w:rPr>
          <w:sz w:val="24"/>
          <w:szCs w:val="24"/>
          <w:lang w:val="en-GB"/>
        </w:rPr>
        <w:t xml:space="preserve">. </w:t>
      </w:r>
      <w:r w:rsidR="00E85B74" w:rsidRPr="00AA7C7F">
        <w:rPr>
          <w:sz w:val="24"/>
          <w:szCs w:val="24"/>
          <w:lang w:val="en-GB"/>
        </w:rPr>
        <w:t xml:space="preserve">In practice, in the event of a breach of duty by a member of the </w:t>
      </w:r>
      <w:r w:rsidR="00992B9D">
        <w:rPr>
          <w:sz w:val="24"/>
          <w:szCs w:val="24"/>
          <w:lang w:val="en-GB"/>
        </w:rPr>
        <w:t xml:space="preserve">executive </w:t>
      </w:r>
      <w:r w:rsidR="00E85B74" w:rsidRPr="00AA7C7F">
        <w:rPr>
          <w:sz w:val="24"/>
          <w:szCs w:val="24"/>
          <w:lang w:val="en-GB"/>
        </w:rPr>
        <w:t xml:space="preserve">board, the company holds not only that member liable, but also all other members of the </w:t>
      </w:r>
      <w:r w:rsidR="00992B9D">
        <w:rPr>
          <w:sz w:val="24"/>
          <w:szCs w:val="24"/>
          <w:lang w:val="en-GB"/>
        </w:rPr>
        <w:t>executive</w:t>
      </w:r>
      <w:r w:rsidR="00E85B74" w:rsidRPr="00AA7C7F">
        <w:rPr>
          <w:sz w:val="24"/>
          <w:szCs w:val="24"/>
          <w:lang w:val="en-GB"/>
        </w:rPr>
        <w:t xml:space="preserve"> board and, where a supervisory board exists (as is the case with a stock corporation), the members of the supervisory board as well for breach of their supervisory and control duties, as they are all jointly and severally liable to the company for the damage occurred. Each of them against whom a claim is made is represented by a lawyer of their choice, which inevitably leads to a multiplication of </w:t>
      </w:r>
      <w:r w:rsidR="00CC11AD" w:rsidRPr="00AA7C7F">
        <w:rPr>
          <w:sz w:val="24"/>
          <w:szCs w:val="24"/>
          <w:lang w:val="en-GB"/>
        </w:rPr>
        <w:t xml:space="preserve">the </w:t>
      </w:r>
      <w:r w:rsidR="00E85B74" w:rsidRPr="00AA7C7F">
        <w:rPr>
          <w:sz w:val="24"/>
          <w:szCs w:val="24"/>
          <w:lang w:val="en-GB"/>
        </w:rPr>
        <w:t>defen</w:t>
      </w:r>
      <w:r w:rsidR="00724C96" w:rsidRPr="00AA7C7F">
        <w:rPr>
          <w:sz w:val="24"/>
          <w:szCs w:val="24"/>
          <w:lang w:val="en-GB"/>
        </w:rPr>
        <w:t>c</w:t>
      </w:r>
      <w:r w:rsidR="00E85B74" w:rsidRPr="00AA7C7F">
        <w:rPr>
          <w:sz w:val="24"/>
          <w:szCs w:val="24"/>
          <w:lang w:val="en-GB"/>
        </w:rPr>
        <w:t>e costs.</w:t>
      </w:r>
      <w:r w:rsidR="00992B9D" w:rsidRPr="00036671">
        <w:rPr>
          <w:vertAlign w:val="superscript"/>
          <w:lang w:val="en-GB"/>
        </w:rPr>
        <w:footnoteReference w:id="34"/>
      </w:r>
      <w:r w:rsidR="00721F88">
        <w:rPr>
          <w:sz w:val="24"/>
          <w:szCs w:val="24"/>
          <w:lang w:val="en-GB"/>
        </w:rPr>
        <w:t xml:space="preserve"> </w:t>
      </w:r>
      <w:r w:rsidR="00721F88" w:rsidRPr="00721F88">
        <w:rPr>
          <w:sz w:val="24"/>
          <w:szCs w:val="24"/>
          <w:lang w:val="en-GB"/>
        </w:rPr>
        <w:t>For these reasons, it seems reasonable to conclude that the insurer has a legitimate interest in including legal defence costs within the sum insured, and that the presumption of unreasonableness is rebutted.</w:t>
      </w:r>
    </w:p>
    <w:p w14:paraId="57DCE966" w14:textId="6844A70C" w:rsidR="00825EFD" w:rsidRPr="00AA7C7F" w:rsidRDefault="00825EFD" w:rsidP="00825EFD">
      <w:pPr>
        <w:tabs>
          <w:tab w:val="left" w:pos="426"/>
        </w:tabs>
        <w:ind w:left="426" w:hanging="426"/>
        <w:rPr>
          <w:sz w:val="24"/>
          <w:szCs w:val="24"/>
          <w:lang w:val="en-GB"/>
        </w:rPr>
      </w:pPr>
      <w:r w:rsidRPr="00AA7C7F">
        <w:rPr>
          <w:b/>
          <w:bCs/>
          <w:sz w:val="24"/>
          <w:szCs w:val="24"/>
          <w:lang w:val="en-US"/>
        </w:rPr>
        <w:t>c)</w:t>
      </w:r>
      <w:r w:rsidRPr="00AA7C7F">
        <w:rPr>
          <w:b/>
          <w:bCs/>
          <w:sz w:val="24"/>
          <w:szCs w:val="24"/>
          <w:lang w:val="en-US"/>
        </w:rPr>
        <w:tab/>
        <w:t xml:space="preserve">Sum </w:t>
      </w:r>
      <w:r w:rsidR="00CE3F52" w:rsidRPr="00AA7C7F">
        <w:rPr>
          <w:b/>
          <w:bCs/>
          <w:sz w:val="24"/>
          <w:szCs w:val="24"/>
          <w:lang w:val="en-US"/>
        </w:rPr>
        <w:t>I</w:t>
      </w:r>
      <w:r w:rsidRPr="00AA7C7F">
        <w:rPr>
          <w:b/>
          <w:bCs/>
          <w:sz w:val="24"/>
          <w:szCs w:val="24"/>
          <w:lang w:val="en-US"/>
        </w:rPr>
        <w:t xml:space="preserve">nsured not </w:t>
      </w:r>
      <w:r w:rsidR="00CE3F52" w:rsidRPr="00AA7C7F">
        <w:rPr>
          <w:b/>
          <w:bCs/>
          <w:sz w:val="24"/>
          <w:szCs w:val="24"/>
          <w:lang w:val="en-US"/>
        </w:rPr>
        <w:t>S</w:t>
      </w:r>
      <w:r w:rsidRPr="00AA7C7F">
        <w:rPr>
          <w:b/>
          <w:bCs/>
          <w:sz w:val="24"/>
          <w:szCs w:val="24"/>
          <w:lang w:val="en-US"/>
        </w:rPr>
        <w:t xml:space="preserve">ufficient to </w:t>
      </w:r>
      <w:r w:rsidR="00CE3F52" w:rsidRPr="00AA7C7F">
        <w:rPr>
          <w:b/>
          <w:bCs/>
          <w:sz w:val="24"/>
          <w:szCs w:val="24"/>
          <w:lang w:val="en-US"/>
        </w:rPr>
        <w:t>C</w:t>
      </w:r>
      <w:r w:rsidRPr="00AA7C7F">
        <w:rPr>
          <w:b/>
          <w:bCs/>
          <w:sz w:val="24"/>
          <w:szCs w:val="24"/>
          <w:lang w:val="en-US"/>
        </w:rPr>
        <w:t xml:space="preserve">over all </w:t>
      </w:r>
      <w:r w:rsidR="00CE3F52" w:rsidRPr="00AA7C7F">
        <w:rPr>
          <w:b/>
          <w:bCs/>
          <w:sz w:val="24"/>
          <w:szCs w:val="24"/>
          <w:lang w:val="en-US"/>
        </w:rPr>
        <w:t>D</w:t>
      </w:r>
      <w:r w:rsidRPr="00AA7C7F">
        <w:rPr>
          <w:b/>
          <w:bCs/>
          <w:sz w:val="24"/>
          <w:szCs w:val="24"/>
          <w:lang w:val="en-US"/>
        </w:rPr>
        <w:t xml:space="preserve">irectors </w:t>
      </w:r>
      <w:r w:rsidR="001B1B99" w:rsidRPr="00AA7C7F">
        <w:rPr>
          <w:b/>
          <w:bCs/>
          <w:sz w:val="24"/>
          <w:szCs w:val="24"/>
          <w:lang w:val="en-US"/>
        </w:rPr>
        <w:t xml:space="preserve">insured </w:t>
      </w:r>
      <w:r w:rsidRPr="00AA7C7F">
        <w:rPr>
          <w:b/>
          <w:bCs/>
          <w:sz w:val="24"/>
          <w:szCs w:val="24"/>
          <w:lang w:val="en-US"/>
        </w:rPr>
        <w:t xml:space="preserve">PR </w:t>
      </w:r>
      <w:r w:rsidR="005C1377">
        <w:rPr>
          <w:b/>
          <w:bCs/>
          <w:sz w:val="24"/>
          <w:szCs w:val="24"/>
          <w:lang w:val="en-US"/>
        </w:rPr>
        <w:t>C</w:t>
      </w:r>
      <w:r w:rsidRPr="00AA7C7F">
        <w:rPr>
          <w:b/>
          <w:bCs/>
          <w:sz w:val="24"/>
          <w:szCs w:val="24"/>
          <w:lang w:val="en-US"/>
        </w:rPr>
        <w:t>osts</w:t>
      </w:r>
    </w:p>
    <w:p w14:paraId="647226F5" w14:textId="77777777" w:rsidR="005F6A46" w:rsidRDefault="00FB119E" w:rsidP="00FB119E">
      <w:pPr>
        <w:tabs>
          <w:tab w:val="left" w:pos="426"/>
        </w:tabs>
        <w:rPr>
          <w:sz w:val="24"/>
          <w:szCs w:val="24"/>
          <w:lang w:val="en-US"/>
        </w:rPr>
      </w:pPr>
      <w:r w:rsidRPr="00AA7C7F">
        <w:rPr>
          <w:sz w:val="24"/>
          <w:szCs w:val="24"/>
          <w:lang w:val="en-US"/>
        </w:rPr>
        <w:t>Under the VVG, where there are several injured parties</w:t>
      </w:r>
      <w:r w:rsidR="00DD578B" w:rsidRPr="00AA7C7F">
        <w:rPr>
          <w:sz w:val="24"/>
          <w:szCs w:val="24"/>
          <w:lang w:val="en-US"/>
        </w:rPr>
        <w:t>,</w:t>
      </w:r>
      <w:r w:rsidRPr="00AA7C7F">
        <w:rPr>
          <w:sz w:val="24"/>
          <w:szCs w:val="24"/>
          <w:lang w:val="en-US"/>
        </w:rPr>
        <w:t xml:space="preserve"> whose claims exceed the sum insured, the insurer must settle these claims in proportion to their respective amounts (</w:t>
      </w:r>
      <w:r w:rsidR="007B4B88" w:rsidRPr="00AA7C7F">
        <w:rPr>
          <w:sz w:val="24"/>
          <w:szCs w:val="24"/>
          <w:lang w:val="en-US"/>
        </w:rPr>
        <w:t>§</w:t>
      </w:r>
      <w:r w:rsidRPr="00AA7C7F">
        <w:rPr>
          <w:sz w:val="24"/>
          <w:szCs w:val="24"/>
          <w:lang w:val="en-US"/>
        </w:rPr>
        <w:t xml:space="preserve"> 109 VVG). This rule does not apply </w:t>
      </w:r>
      <w:r w:rsidR="00CC11AD" w:rsidRPr="00AA7C7F">
        <w:rPr>
          <w:sz w:val="24"/>
          <w:szCs w:val="24"/>
          <w:lang w:val="en-US"/>
        </w:rPr>
        <w:t xml:space="preserve">to D&amp;O insurance </w:t>
      </w:r>
      <w:r w:rsidRPr="00AA7C7F">
        <w:rPr>
          <w:sz w:val="24"/>
          <w:szCs w:val="24"/>
          <w:lang w:val="en-US"/>
        </w:rPr>
        <w:t xml:space="preserve">in cases of internal liability, as there is only one injured party, namely the company. </w:t>
      </w:r>
    </w:p>
    <w:p w14:paraId="2810F679" w14:textId="493E7B3E" w:rsidR="00FB119E" w:rsidRPr="000A5928" w:rsidRDefault="00FB119E" w:rsidP="00FB119E">
      <w:pPr>
        <w:tabs>
          <w:tab w:val="left" w:pos="426"/>
        </w:tabs>
        <w:rPr>
          <w:sz w:val="24"/>
          <w:szCs w:val="24"/>
          <w:lang w:val="en-US"/>
        </w:rPr>
      </w:pPr>
      <w:r w:rsidRPr="00AA7C7F">
        <w:rPr>
          <w:sz w:val="24"/>
          <w:szCs w:val="24"/>
          <w:lang w:val="en-US"/>
        </w:rPr>
        <w:t xml:space="preserve">Some authors suggest applying </w:t>
      </w:r>
      <w:r w:rsidR="007B4B88" w:rsidRPr="00AA7C7F">
        <w:rPr>
          <w:sz w:val="24"/>
          <w:szCs w:val="24"/>
          <w:lang w:val="en-US"/>
        </w:rPr>
        <w:t xml:space="preserve">§ 109 VVG </w:t>
      </w:r>
      <w:r w:rsidRPr="00AA7C7F">
        <w:rPr>
          <w:sz w:val="24"/>
          <w:szCs w:val="24"/>
          <w:lang w:val="en-US"/>
        </w:rPr>
        <w:t>either by analogy</w:t>
      </w:r>
      <w:r w:rsidR="00134ECF" w:rsidRPr="00036671">
        <w:rPr>
          <w:vertAlign w:val="superscript"/>
          <w:lang w:val="en-GB"/>
        </w:rPr>
        <w:footnoteReference w:id="35"/>
      </w:r>
      <w:r w:rsidRPr="00AA7C7F">
        <w:rPr>
          <w:sz w:val="24"/>
          <w:szCs w:val="24"/>
          <w:lang w:val="en-US"/>
        </w:rPr>
        <w:t xml:space="preserve"> or through a supplementary interpretation of the insurance contract, provided nothing else is agreed in the contract.</w:t>
      </w:r>
      <w:r w:rsidR="00992B9D" w:rsidRPr="00036671">
        <w:rPr>
          <w:vertAlign w:val="superscript"/>
          <w:lang w:val="en-GB"/>
        </w:rPr>
        <w:footnoteReference w:id="36"/>
      </w:r>
      <w:r w:rsidRPr="00AA7C7F">
        <w:rPr>
          <w:sz w:val="24"/>
          <w:szCs w:val="24"/>
          <w:lang w:val="en-US"/>
        </w:rPr>
        <w:t xml:space="preserve"> </w:t>
      </w:r>
      <w:r w:rsidR="000A5928" w:rsidRPr="000A5928">
        <w:rPr>
          <w:sz w:val="24"/>
          <w:szCs w:val="24"/>
          <w:lang w:val="en-US"/>
        </w:rPr>
        <w:t xml:space="preserve">For example, if </w:t>
      </w:r>
      <w:r w:rsidR="000A5928">
        <w:rPr>
          <w:sz w:val="24"/>
          <w:szCs w:val="24"/>
          <w:lang w:val="en-US"/>
        </w:rPr>
        <w:t>the board members</w:t>
      </w:r>
      <w:r w:rsidR="000A5928" w:rsidRPr="000A5928">
        <w:rPr>
          <w:sz w:val="24"/>
          <w:szCs w:val="24"/>
          <w:lang w:val="en-US"/>
        </w:rPr>
        <w:t xml:space="preserve"> A, B and C are liable to the company (not jointly and severally) for damages amounting to €5, €10 and €15 million respectively, and the sum insured is limited to €15 million, A, B and C would be indemnified by the insurer in the amount of €2.5, €5 and €7.5 million.</w:t>
      </w:r>
      <w:r w:rsidR="000A5928">
        <w:rPr>
          <w:sz w:val="24"/>
          <w:szCs w:val="24"/>
          <w:lang w:val="en-US"/>
        </w:rPr>
        <w:t xml:space="preserve"> </w:t>
      </w:r>
      <w:r w:rsidR="000A5928" w:rsidRPr="000A5928">
        <w:rPr>
          <w:sz w:val="24"/>
          <w:szCs w:val="24"/>
          <w:lang w:val="en-US"/>
        </w:rPr>
        <w:t>They would have to pay the company the remaining half of the damages, which is not covered, out of their own pockets.</w:t>
      </w:r>
      <w:r w:rsidR="000A5928">
        <w:rPr>
          <w:sz w:val="24"/>
          <w:szCs w:val="24"/>
          <w:lang w:val="en-US"/>
        </w:rPr>
        <w:t xml:space="preserve"> </w:t>
      </w:r>
      <w:r w:rsidR="000A5928" w:rsidRPr="000A5928">
        <w:rPr>
          <w:sz w:val="24"/>
          <w:szCs w:val="24"/>
          <w:lang w:val="en-US"/>
        </w:rPr>
        <w:t>Other authors take the view that the insurer is entitled to make payments in the order in which the company has asserted its claims for damages against the board members, regardless of whether these payments result in the sum insured for the indemnification of the other board members being exhausted or reduced in the face of subsequent claims for damages by the company</w:t>
      </w:r>
      <w:r w:rsidR="000A5928">
        <w:rPr>
          <w:sz w:val="24"/>
          <w:szCs w:val="24"/>
          <w:lang w:val="en-US"/>
        </w:rPr>
        <w:t xml:space="preserve"> </w:t>
      </w:r>
      <w:r w:rsidRPr="00AA7C7F">
        <w:rPr>
          <w:sz w:val="24"/>
          <w:szCs w:val="24"/>
          <w:lang w:val="en-US"/>
        </w:rPr>
        <w:t>(</w:t>
      </w:r>
      <w:r w:rsidR="007370A9" w:rsidRPr="00AA7C7F">
        <w:rPr>
          <w:sz w:val="24"/>
          <w:szCs w:val="24"/>
          <w:lang w:val="en-US"/>
        </w:rPr>
        <w:t xml:space="preserve">principle of </w:t>
      </w:r>
      <w:r w:rsidRPr="00AA7C7F">
        <w:rPr>
          <w:sz w:val="24"/>
          <w:szCs w:val="24"/>
          <w:lang w:val="en-US"/>
        </w:rPr>
        <w:t>first come, first served).</w:t>
      </w:r>
      <w:r w:rsidR="00992B9D" w:rsidRPr="00036671">
        <w:rPr>
          <w:vertAlign w:val="superscript"/>
          <w:lang w:val="en-GB"/>
        </w:rPr>
        <w:footnoteReference w:id="37"/>
      </w:r>
      <w:r w:rsidRPr="00AA7C7F">
        <w:rPr>
          <w:sz w:val="24"/>
          <w:szCs w:val="24"/>
          <w:lang w:val="en-US"/>
        </w:rPr>
        <w:t xml:space="preserve"> Other academics, in turn, advocate a per capita allocation</w:t>
      </w:r>
      <w:r w:rsidR="000A5928">
        <w:rPr>
          <w:sz w:val="24"/>
          <w:szCs w:val="24"/>
          <w:lang w:val="en-US"/>
        </w:rPr>
        <w:t xml:space="preserve"> of the sum insured</w:t>
      </w:r>
      <w:r w:rsidRPr="00AA7C7F">
        <w:rPr>
          <w:sz w:val="24"/>
          <w:szCs w:val="24"/>
          <w:lang w:val="en-US"/>
        </w:rPr>
        <w:t>.</w:t>
      </w:r>
      <w:r w:rsidR="00992B9D" w:rsidRPr="00036671">
        <w:rPr>
          <w:vertAlign w:val="superscript"/>
          <w:lang w:val="en-GB"/>
        </w:rPr>
        <w:footnoteReference w:id="38"/>
      </w:r>
    </w:p>
    <w:p w14:paraId="357C41A9" w14:textId="24191FEC" w:rsidR="00CC11AD" w:rsidRPr="00AA7C7F" w:rsidRDefault="001B1B99" w:rsidP="00FB119E">
      <w:pPr>
        <w:tabs>
          <w:tab w:val="left" w:pos="426"/>
        </w:tabs>
        <w:rPr>
          <w:sz w:val="24"/>
          <w:szCs w:val="24"/>
          <w:lang w:val="en-GB"/>
        </w:rPr>
      </w:pPr>
      <w:r w:rsidRPr="00AA7C7F">
        <w:rPr>
          <w:sz w:val="24"/>
          <w:szCs w:val="24"/>
          <w:lang w:val="en-GB"/>
        </w:rPr>
        <w:t xml:space="preserve">The case heard before the Frankfurt Court of Appeal does not concern the allocation of the insurance sum for indemnifying the </w:t>
      </w:r>
      <w:r w:rsidR="00992B9D">
        <w:rPr>
          <w:sz w:val="24"/>
          <w:szCs w:val="24"/>
          <w:lang w:val="en-GB"/>
        </w:rPr>
        <w:t>member</w:t>
      </w:r>
      <w:r w:rsidR="005F6A46">
        <w:rPr>
          <w:sz w:val="24"/>
          <w:szCs w:val="24"/>
          <w:lang w:val="en-GB"/>
        </w:rPr>
        <w:t>s</w:t>
      </w:r>
      <w:r w:rsidR="00992B9D">
        <w:rPr>
          <w:sz w:val="24"/>
          <w:szCs w:val="24"/>
          <w:lang w:val="en-GB"/>
        </w:rPr>
        <w:t xml:space="preserve"> of the executive and supervisory board </w:t>
      </w:r>
      <w:r w:rsidRPr="00AA7C7F">
        <w:rPr>
          <w:sz w:val="24"/>
          <w:szCs w:val="24"/>
          <w:lang w:val="en-GB"/>
        </w:rPr>
        <w:t>against the company’s claim for damages, nor for the reimbursement of defen</w:t>
      </w:r>
      <w:r w:rsidR="007C64AE">
        <w:rPr>
          <w:sz w:val="24"/>
          <w:szCs w:val="24"/>
          <w:lang w:val="en-GB"/>
        </w:rPr>
        <w:t>c</w:t>
      </w:r>
      <w:r w:rsidRPr="00AA7C7F">
        <w:rPr>
          <w:sz w:val="24"/>
          <w:szCs w:val="24"/>
          <w:lang w:val="en-GB"/>
        </w:rPr>
        <w:t>e costs</w:t>
      </w:r>
      <w:r w:rsidR="007C64AE">
        <w:rPr>
          <w:sz w:val="24"/>
          <w:szCs w:val="24"/>
          <w:lang w:val="en-GB"/>
        </w:rPr>
        <w:t xml:space="preserve">. </w:t>
      </w:r>
      <w:r w:rsidR="007C64AE" w:rsidRPr="007C64AE">
        <w:rPr>
          <w:sz w:val="24"/>
          <w:szCs w:val="24"/>
          <w:lang w:val="en-GB"/>
        </w:rPr>
        <w:t>Rather, it was about the reimbursement of PR costs incurred by one of the executives</w:t>
      </w:r>
      <w:r w:rsidR="007C64AE">
        <w:rPr>
          <w:sz w:val="24"/>
          <w:szCs w:val="24"/>
          <w:lang w:val="en-GB"/>
        </w:rPr>
        <w:t xml:space="preserve"> who </w:t>
      </w:r>
      <w:r w:rsidRPr="00AA7C7F">
        <w:rPr>
          <w:sz w:val="24"/>
          <w:szCs w:val="24"/>
          <w:lang w:val="en-GB"/>
        </w:rPr>
        <w:t xml:space="preserve">received only </w:t>
      </w:r>
      <w:r w:rsidR="00CC11AD" w:rsidRPr="00AA7C7F">
        <w:rPr>
          <w:sz w:val="24"/>
          <w:szCs w:val="24"/>
          <w:lang w:val="en-US"/>
        </w:rPr>
        <w:t>€</w:t>
      </w:r>
      <w:r w:rsidRPr="00AA7C7F">
        <w:rPr>
          <w:sz w:val="24"/>
          <w:szCs w:val="24"/>
          <w:lang w:val="en-GB"/>
        </w:rPr>
        <w:t>38,452.65 out of the total sub</w:t>
      </w:r>
      <w:r w:rsidR="007C64AE">
        <w:rPr>
          <w:sz w:val="24"/>
          <w:szCs w:val="24"/>
          <w:lang w:val="en-GB"/>
        </w:rPr>
        <w:t xml:space="preserve"> </w:t>
      </w:r>
      <w:r w:rsidRPr="00AA7C7F">
        <w:rPr>
          <w:sz w:val="24"/>
          <w:szCs w:val="24"/>
          <w:lang w:val="en-GB"/>
        </w:rPr>
        <w:t xml:space="preserve">limited sum of </w:t>
      </w:r>
      <w:r w:rsidR="00CC11AD" w:rsidRPr="00AA7C7F">
        <w:rPr>
          <w:sz w:val="24"/>
          <w:szCs w:val="24"/>
          <w:lang w:val="en-US"/>
        </w:rPr>
        <w:t>€</w:t>
      </w:r>
      <w:r w:rsidRPr="00AA7C7F">
        <w:rPr>
          <w:sz w:val="24"/>
          <w:szCs w:val="24"/>
          <w:lang w:val="en-GB"/>
        </w:rPr>
        <w:t xml:space="preserve">100,000, as the entire sum insured </w:t>
      </w:r>
      <w:r w:rsidR="005C1377">
        <w:rPr>
          <w:sz w:val="24"/>
          <w:szCs w:val="24"/>
          <w:lang w:val="en-GB"/>
        </w:rPr>
        <w:t xml:space="preserve">of €15 million </w:t>
      </w:r>
      <w:r w:rsidRPr="00AA7C7F">
        <w:rPr>
          <w:sz w:val="24"/>
          <w:szCs w:val="24"/>
          <w:lang w:val="en-GB"/>
        </w:rPr>
        <w:t xml:space="preserve">had been exhausted by the criminal defence costs for other board members. Consequently, there is no scope for the application of § 109 VVG, neither by analogy nor through a supplementary interpretation of the insurance contract. </w:t>
      </w:r>
    </w:p>
    <w:p w14:paraId="223D20D6" w14:textId="4E19A220" w:rsidR="00825EFD" w:rsidRPr="00AA7C7F" w:rsidRDefault="00684052" w:rsidP="00FB119E">
      <w:pPr>
        <w:tabs>
          <w:tab w:val="left" w:pos="426"/>
        </w:tabs>
        <w:rPr>
          <w:sz w:val="24"/>
          <w:szCs w:val="24"/>
          <w:lang w:val="en-GB"/>
        </w:rPr>
      </w:pPr>
      <w:r w:rsidRPr="00AA7C7F">
        <w:rPr>
          <w:sz w:val="24"/>
          <w:szCs w:val="24"/>
          <w:lang w:val="en-GB"/>
        </w:rPr>
        <w:t>However, allocating the sum insured for PR costs on a ‘first come, first served’ basis</w:t>
      </w:r>
      <w:r w:rsidR="004F1FD4" w:rsidRPr="00AA7C7F">
        <w:rPr>
          <w:sz w:val="24"/>
          <w:szCs w:val="24"/>
          <w:lang w:val="en-GB"/>
        </w:rPr>
        <w:t>, as applied by the Frankfurt Court of Appeal,</w:t>
      </w:r>
      <w:r w:rsidR="00134ECF" w:rsidRPr="00036671">
        <w:rPr>
          <w:vertAlign w:val="superscript"/>
          <w:lang w:val="en-GB"/>
        </w:rPr>
        <w:footnoteReference w:id="39"/>
      </w:r>
      <w:r w:rsidRPr="00AA7C7F">
        <w:rPr>
          <w:sz w:val="24"/>
          <w:szCs w:val="24"/>
          <w:lang w:val="en-GB"/>
        </w:rPr>
        <w:t xml:space="preserve"> does not serve the interests of the </w:t>
      </w:r>
      <w:r w:rsidR="006B0705">
        <w:rPr>
          <w:sz w:val="24"/>
          <w:szCs w:val="24"/>
          <w:lang w:val="en-GB"/>
        </w:rPr>
        <w:t>board members</w:t>
      </w:r>
      <w:r w:rsidRPr="00AA7C7F">
        <w:rPr>
          <w:sz w:val="24"/>
          <w:szCs w:val="24"/>
          <w:lang w:val="en-GB"/>
        </w:rPr>
        <w:t xml:space="preserve"> and does not appear to be in the insurer’s interests either. </w:t>
      </w:r>
      <w:r w:rsidR="00883B6A" w:rsidRPr="00883B6A">
        <w:rPr>
          <w:sz w:val="24"/>
          <w:szCs w:val="24"/>
          <w:lang w:val="en-GB"/>
        </w:rPr>
        <w:t xml:space="preserve">Firstly, allocation on a ‘first come, first served’ basis does not apply if </w:t>
      </w:r>
      <w:r w:rsidRPr="00AA7C7F">
        <w:rPr>
          <w:sz w:val="24"/>
          <w:szCs w:val="24"/>
          <w:lang w:val="en-GB"/>
        </w:rPr>
        <w:t xml:space="preserve">claims for reimbursement of PR costs were made simultaneously. </w:t>
      </w:r>
      <w:r w:rsidR="006B0705" w:rsidRPr="006B0705">
        <w:rPr>
          <w:sz w:val="24"/>
          <w:szCs w:val="24"/>
          <w:lang w:val="en-GB"/>
        </w:rPr>
        <w:t xml:space="preserve">Secondly, in the event of a subsequent claim for reimbursement based on a notice of the circumstances made before the sum insured for PR costs had been exhausted, </w:t>
      </w:r>
      <w:r w:rsidR="005C1377" w:rsidRPr="005C1377">
        <w:rPr>
          <w:sz w:val="24"/>
          <w:szCs w:val="24"/>
          <w:lang w:val="en-GB"/>
        </w:rPr>
        <w:t>the insurer would have to cover the PR costs a second time and demand repayment of the amount from the board member whose PR costs the insurer had already reimbursed</w:t>
      </w:r>
      <w:r w:rsidR="005C1377">
        <w:rPr>
          <w:sz w:val="24"/>
          <w:szCs w:val="24"/>
          <w:lang w:val="en-GB"/>
        </w:rPr>
        <w:t>.</w:t>
      </w:r>
      <w:r w:rsidR="006B0705" w:rsidRPr="00036671">
        <w:rPr>
          <w:vertAlign w:val="superscript"/>
          <w:lang w:val="en-GB"/>
        </w:rPr>
        <w:footnoteReference w:id="40"/>
      </w:r>
      <w:r w:rsidR="004F1FD4" w:rsidRPr="00AA7C7F">
        <w:rPr>
          <w:sz w:val="24"/>
          <w:szCs w:val="24"/>
          <w:lang w:val="en-GB"/>
        </w:rPr>
        <w:t xml:space="preserve"> It is therefore </w:t>
      </w:r>
      <w:r w:rsidR="006B0705">
        <w:rPr>
          <w:sz w:val="24"/>
          <w:szCs w:val="24"/>
          <w:lang w:val="en-GB"/>
        </w:rPr>
        <w:t xml:space="preserve">highly </w:t>
      </w:r>
      <w:r w:rsidR="004F1FD4" w:rsidRPr="00AA7C7F">
        <w:rPr>
          <w:sz w:val="24"/>
          <w:szCs w:val="24"/>
          <w:lang w:val="en-GB"/>
        </w:rPr>
        <w:t>questionable whether the BGH will accept the allocation on a ‘first come, first served’ basis.</w:t>
      </w:r>
    </w:p>
    <w:p w14:paraId="178E47F7" w14:textId="56192807" w:rsidR="00825EFD" w:rsidRPr="00AA7C7F" w:rsidRDefault="00825EFD" w:rsidP="00825EFD">
      <w:pPr>
        <w:tabs>
          <w:tab w:val="left" w:pos="426"/>
        </w:tabs>
        <w:ind w:left="426" w:hanging="426"/>
        <w:rPr>
          <w:b/>
          <w:bCs/>
          <w:sz w:val="24"/>
          <w:szCs w:val="24"/>
          <w:lang w:val="en-GB"/>
        </w:rPr>
      </w:pPr>
      <w:r w:rsidRPr="00AA7C7F">
        <w:rPr>
          <w:b/>
          <w:bCs/>
          <w:sz w:val="24"/>
          <w:szCs w:val="24"/>
          <w:lang w:val="en-US"/>
        </w:rPr>
        <w:t>I</w:t>
      </w:r>
      <w:r w:rsidR="00620AFE" w:rsidRPr="00AA7C7F">
        <w:rPr>
          <w:b/>
          <w:bCs/>
          <w:sz w:val="24"/>
          <w:szCs w:val="24"/>
          <w:lang w:val="en-US"/>
        </w:rPr>
        <w:t>I</w:t>
      </w:r>
      <w:r w:rsidRPr="00AA7C7F">
        <w:rPr>
          <w:b/>
          <w:bCs/>
          <w:sz w:val="24"/>
          <w:szCs w:val="24"/>
          <w:lang w:val="en-US"/>
        </w:rPr>
        <w:t>.</w:t>
      </w:r>
      <w:r w:rsidRPr="00AA7C7F">
        <w:rPr>
          <w:b/>
          <w:bCs/>
          <w:sz w:val="24"/>
          <w:szCs w:val="24"/>
          <w:lang w:val="en-US"/>
        </w:rPr>
        <w:tab/>
      </w:r>
      <w:r w:rsidRPr="00AA7C7F">
        <w:rPr>
          <w:b/>
          <w:bCs/>
          <w:sz w:val="24"/>
          <w:szCs w:val="24"/>
          <w:lang w:val="en-GB"/>
        </w:rPr>
        <w:t xml:space="preserve">Cologne Court of Appeal, </w:t>
      </w:r>
      <w:r w:rsidR="00871D3C" w:rsidRPr="00AA7C7F">
        <w:rPr>
          <w:b/>
          <w:bCs/>
          <w:sz w:val="24"/>
          <w:szCs w:val="24"/>
          <w:lang w:val="en-GB"/>
        </w:rPr>
        <w:t>10</w:t>
      </w:r>
      <w:r w:rsidR="004312C8">
        <w:rPr>
          <w:b/>
          <w:bCs/>
          <w:sz w:val="24"/>
          <w:szCs w:val="24"/>
          <w:lang w:val="en-GB"/>
        </w:rPr>
        <w:t xml:space="preserve"> February </w:t>
      </w:r>
      <w:r w:rsidR="00871D3C" w:rsidRPr="00AA7C7F">
        <w:rPr>
          <w:b/>
          <w:bCs/>
          <w:sz w:val="24"/>
          <w:szCs w:val="24"/>
          <w:lang w:val="en-GB"/>
        </w:rPr>
        <w:t>2026 –9 U 49/25 (Greensill)</w:t>
      </w:r>
      <w:r w:rsidRPr="00AA7C7F">
        <w:rPr>
          <w:b/>
          <w:bCs/>
          <w:sz w:val="24"/>
          <w:szCs w:val="24"/>
          <w:lang w:val="en-GB"/>
        </w:rPr>
        <w:t xml:space="preserve"> </w:t>
      </w:r>
    </w:p>
    <w:p w14:paraId="4F068799" w14:textId="6C2A2986" w:rsidR="005F30EE" w:rsidRPr="00AA7C7F" w:rsidRDefault="005F30EE" w:rsidP="00724535">
      <w:pPr>
        <w:tabs>
          <w:tab w:val="left" w:pos="426"/>
        </w:tabs>
        <w:rPr>
          <w:b/>
          <w:sz w:val="24"/>
          <w:szCs w:val="24"/>
          <w:lang w:val="en-GB"/>
        </w:rPr>
      </w:pPr>
      <w:r w:rsidRPr="00AA7C7F">
        <w:rPr>
          <w:bCs/>
          <w:sz w:val="24"/>
          <w:szCs w:val="24"/>
          <w:lang w:val="en-GB"/>
        </w:rPr>
        <w:t>The case decided by the Cologne Court of Appea</w:t>
      </w:r>
      <w:r w:rsidR="006B0705">
        <w:rPr>
          <w:bCs/>
          <w:sz w:val="24"/>
          <w:szCs w:val="24"/>
          <w:lang w:val="en-GB"/>
        </w:rPr>
        <w:t>l</w:t>
      </w:r>
      <w:r w:rsidR="006B0705" w:rsidRPr="00036671">
        <w:rPr>
          <w:vertAlign w:val="superscript"/>
          <w:lang w:val="en-GB"/>
        </w:rPr>
        <w:footnoteReference w:id="41"/>
      </w:r>
      <w:r w:rsidRPr="00AA7C7F">
        <w:rPr>
          <w:bCs/>
          <w:sz w:val="24"/>
          <w:szCs w:val="24"/>
          <w:lang w:val="en-GB"/>
        </w:rPr>
        <w:t xml:space="preserve"> concerns the validity of a </w:t>
      </w:r>
      <w:r w:rsidR="005A27C7">
        <w:rPr>
          <w:bCs/>
          <w:sz w:val="24"/>
          <w:szCs w:val="24"/>
          <w:lang w:val="en-GB"/>
        </w:rPr>
        <w:t xml:space="preserve">standard-form </w:t>
      </w:r>
      <w:r w:rsidRPr="00AA7C7F">
        <w:rPr>
          <w:bCs/>
          <w:sz w:val="24"/>
          <w:szCs w:val="24"/>
          <w:lang w:val="en-GB"/>
        </w:rPr>
        <w:t xml:space="preserve">waiver </w:t>
      </w:r>
      <w:r w:rsidR="005A27C7">
        <w:rPr>
          <w:bCs/>
          <w:sz w:val="24"/>
          <w:szCs w:val="24"/>
          <w:lang w:val="en-GB"/>
        </w:rPr>
        <w:t xml:space="preserve">clause </w:t>
      </w:r>
      <w:r w:rsidRPr="00AA7C7F">
        <w:rPr>
          <w:bCs/>
          <w:sz w:val="24"/>
          <w:szCs w:val="24"/>
          <w:lang w:val="en-GB"/>
        </w:rPr>
        <w:t xml:space="preserve">to declare the insurance contract avoided on </w:t>
      </w:r>
      <w:r w:rsidRPr="00AA7C7F">
        <w:rPr>
          <w:sz w:val="24"/>
          <w:szCs w:val="24"/>
          <w:lang w:val="en-US"/>
        </w:rPr>
        <w:t xml:space="preserve">the grounds of fraudulent misrepresentation and the validity of </w:t>
      </w:r>
      <w:r w:rsidR="00D52064">
        <w:rPr>
          <w:sz w:val="24"/>
          <w:szCs w:val="24"/>
          <w:lang w:val="en-US"/>
        </w:rPr>
        <w:t xml:space="preserve">the </w:t>
      </w:r>
      <w:r w:rsidRPr="00AA7C7F">
        <w:rPr>
          <w:sz w:val="24"/>
          <w:szCs w:val="24"/>
          <w:lang w:val="en-US"/>
        </w:rPr>
        <w:t>‘severability clause’</w:t>
      </w:r>
      <w:r w:rsidR="00D52064">
        <w:rPr>
          <w:sz w:val="24"/>
          <w:szCs w:val="24"/>
          <w:lang w:val="en-US"/>
        </w:rPr>
        <w:t xml:space="preserve"> and the ‘fallback clause’</w:t>
      </w:r>
      <w:r w:rsidRPr="00AA7C7F">
        <w:rPr>
          <w:sz w:val="24"/>
          <w:szCs w:val="24"/>
          <w:lang w:val="en-US"/>
        </w:rPr>
        <w:t>.</w:t>
      </w:r>
    </w:p>
    <w:p w14:paraId="52B33723" w14:textId="4174B4E1" w:rsidR="00724535" w:rsidRPr="00AA7C7F" w:rsidRDefault="00724535" w:rsidP="00724535">
      <w:pPr>
        <w:tabs>
          <w:tab w:val="left" w:pos="426"/>
        </w:tabs>
        <w:rPr>
          <w:b/>
          <w:sz w:val="24"/>
          <w:szCs w:val="24"/>
          <w:lang w:val="en-GB"/>
        </w:rPr>
      </w:pPr>
      <w:r w:rsidRPr="00AA7C7F">
        <w:rPr>
          <w:b/>
          <w:sz w:val="24"/>
          <w:szCs w:val="24"/>
          <w:lang w:val="en-GB"/>
        </w:rPr>
        <w:t>1.</w:t>
      </w:r>
      <w:r w:rsidRPr="00AA7C7F">
        <w:rPr>
          <w:b/>
          <w:sz w:val="24"/>
          <w:szCs w:val="24"/>
          <w:lang w:val="en-GB"/>
        </w:rPr>
        <w:tab/>
        <w:t>Brief Summary of the Facts</w:t>
      </w:r>
    </w:p>
    <w:p w14:paraId="51BAA518" w14:textId="354BF13C" w:rsidR="00B346FC" w:rsidRDefault="00825EFD" w:rsidP="005F30EE">
      <w:pPr>
        <w:tabs>
          <w:tab w:val="left" w:pos="426"/>
        </w:tabs>
        <w:rPr>
          <w:b/>
          <w:sz w:val="24"/>
          <w:szCs w:val="24"/>
          <w:lang w:val="en-GB"/>
        </w:rPr>
      </w:pPr>
      <w:r w:rsidRPr="00AA7C7F">
        <w:rPr>
          <w:sz w:val="24"/>
          <w:szCs w:val="24"/>
          <w:lang w:val="en-US"/>
        </w:rPr>
        <w:t xml:space="preserve">Greensill Bank AG </w:t>
      </w:r>
      <w:r w:rsidR="00303FFD" w:rsidRPr="00AA7C7F">
        <w:rPr>
          <w:sz w:val="24"/>
          <w:szCs w:val="24"/>
          <w:lang w:val="en-US"/>
        </w:rPr>
        <w:t xml:space="preserve">(Greensill) </w:t>
      </w:r>
      <w:r w:rsidRPr="00AA7C7F">
        <w:rPr>
          <w:sz w:val="24"/>
          <w:szCs w:val="24"/>
          <w:lang w:val="en-US"/>
        </w:rPr>
        <w:t xml:space="preserve">went bankrupt in 2021 following allegations of fraud and balance sheet manipulation. As early as the end of 2019, the Deposit Protection Fund of the Association of German Banks had urged Greensill to reduce its concentration of loans and exposure to companies linked to Sanjeev Gupta’s GFG Alliance. Greensill’s </w:t>
      </w:r>
      <w:r w:rsidR="005A27C7">
        <w:rPr>
          <w:sz w:val="24"/>
          <w:szCs w:val="24"/>
          <w:lang w:val="en-US"/>
        </w:rPr>
        <w:t>executive board members</w:t>
      </w:r>
      <w:r w:rsidRPr="00AA7C7F">
        <w:rPr>
          <w:sz w:val="24"/>
          <w:szCs w:val="24"/>
          <w:lang w:val="en-US"/>
        </w:rPr>
        <w:t xml:space="preserve"> did not disclose this matter in their warranty statements</w:t>
      </w:r>
      <w:r w:rsidR="0061745A" w:rsidRPr="00AA7C7F">
        <w:rPr>
          <w:sz w:val="24"/>
          <w:szCs w:val="24"/>
          <w:lang w:val="en-US"/>
        </w:rPr>
        <w:t xml:space="preserve"> to the insurers</w:t>
      </w:r>
      <w:r w:rsidR="005A27C7">
        <w:rPr>
          <w:sz w:val="24"/>
          <w:szCs w:val="24"/>
          <w:lang w:val="en-US"/>
        </w:rPr>
        <w:t xml:space="preserve"> at the time of the contract renewal</w:t>
      </w:r>
      <w:r w:rsidRPr="00AA7C7F">
        <w:rPr>
          <w:sz w:val="24"/>
          <w:szCs w:val="24"/>
          <w:lang w:val="en-US"/>
        </w:rPr>
        <w:t xml:space="preserve">, even though they had been asked whether they were aware of any events that had already occurred and which could reasonably be expected to give rise to claims for damages. </w:t>
      </w:r>
      <w:r w:rsidR="005A27C7">
        <w:rPr>
          <w:sz w:val="24"/>
          <w:szCs w:val="24"/>
          <w:lang w:val="en-US"/>
        </w:rPr>
        <w:t>For this reason, t</w:t>
      </w:r>
      <w:r w:rsidR="00724535" w:rsidRPr="00AA7C7F">
        <w:rPr>
          <w:sz w:val="24"/>
          <w:szCs w:val="24"/>
          <w:lang w:val="en-US"/>
        </w:rPr>
        <w:t>he insurers (the primary insurer and all excess insurers) declared the insurance contract void on the grounds of fraudulent misrepresentation, even though it had been agreed in the contract that the</w:t>
      </w:r>
      <w:r w:rsidR="00151D27">
        <w:rPr>
          <w:sz w:val="24"/>
          <w:szCs w:val="24"/>
          <w:lang w:val="en-US"/>
        </w:rPr>
        <w:t xml:space="preserve"> insurers</w:t>
      </w:r>
      <w:r w:rsidR="00724535" w:rsidRPr="00AA7C7F">
        <w:rPr>
          <w:sz w:val="24"/>
          <w:szCs w:val="24"/>
          <w:lang w:val="en-US"/>
        </w:rPr>
        <w:t xml:space="preserve"> would waive th</w:t>
      </w:r>
      <w:r w:rsidR="00151D27">
        <w:rPr>
          <w:sz w:val="24"/>
          <w:szCs w:val="24"/>
          <w:lang w:val="en-US"/>
        </w:rPr>
        <w:t>eir</w:t>
      </w:r>
      <w:r w:rsidR="00724535" w:rsidRPr="00AA7C7F">
        <w:rPr>
          <w:sz w:val="24"/>
          <w:szCs w:val="24"/>
          <w:lang w:val="en-US"/>
        </w:rPr>
        <w:t xml:space="preserve"> right</w:t>
      </w:r>
      <w:r w:rsidR="006B0705">
        <w:rPr>
          <w:sz w:val="24"/>
          <w:szCs w:val="24"/>
          <w:lang w:val="en-US"/>
        </w:rPr>
        <w:t xml:space="preserve"> (clause 10.10 sent 1)</w:t>
      </w:r>
      <w:r w:rsidR="00724535" w:rsidRPr="00AA7C7F">
        <w:rPr>
          <w:sz w:val="24"/>
          <w:szCs w:val="24"/>
          <w:lang w:val="en-US"/>
        </w:rPr>
        <w:t xml:space="preserve">. </w:t>
      </w:r>
      <w:r w:rsidR="00151D27" w:rsidRPr="00151D27">
        <w:rPr>
          <w:sz w:val="24"/>
          <w:szCs w:val="24"/>
          <w:lang w:val="en-US"/>
        </w:rPr>
        <w:t>Furthermore, the insurers argued that the alternative provision</w:t>
      </w:r>
      <w:r w:rsidR="002B78DB">
        <w:rPr>
          <w:sz w:val="24"/>
          <w:szCs w:val="24"/>
          <w:lang w:val="en-US"/>
        </w:rPr>
        <w:t>s</w:t>
      </w:r>
      <w:r w:rsidR="00151D27" w:rsidRPr="00151D27">
        <w:rPr>
          <w:sz w:val="24"/>
          <w:szCs w:val="24"/>
          <w:lang w:val="en-US"/>
        </w:rPr>
        <w:t xml:space="preserve"> in the form of ‘Severability Clause’ 10.10</w:t>
      </w:r>
      <w:r w:rsidR="00151D27">
        <w:rPr>
          <w:sz w:val="24"/>
          <w:szCs w:val="24"/>
          <w:lang w:val="en-US"/>
        </w:rPr>
        <w:t xml:space="preserve"> sent 2</w:t>
      </w:r>
      <w:r w:rsidR="00151D27" w:rsidRPr="00151D27">
        <w:rPr>
          <w:sz w:val="24"/>
          <w:szCs w:val="24"/>
          <w:lang w:val="en-US"/>
        </w:rPr>
        <w:t xml:space="preserve">, and Clause 10.11 – which was intended to serve as a fallback </w:t>
      </w:r>
      <w:r w:rsidR="002B78DB" w:rsidRPr="002B78DB">
        <w:rPr>
          <w:sz w:val="24"/>
          <w:szCs w:val="24"/>
          <w:lang w:val="en-US"/>
        </w:rPr>
        <w:t>solution in the event that a court were to declare the waiver null and void – were also invalid.</w:t>
      </w:r>
      <w:r w:rsidR="00D33077">
        <w:rPr>
          <w:sz w:val="24"/>
          <w:szCs w:val="24"/>
          <w:lang w:val="en-US"/>
        </w:rPr>
        <w:t xml:space="preserve"> </w:t>
      </w:r>
      <w:r w:rsidR="00D33077" w:rsidRPr="00D33077">
        <w:rPr>
          <w:sz w:val="24"/>
          <w:szCs w:val="24"/>
          <w:lang w:val="en-US"/>
        </w:rPr>
        <w:t xml:space="preserve">In response, </w:t>
      </w:r>
      <w:r w:rsidR="00D33077" w:rsidRPr="00D33077">
        <w:rPr>
          <w:sz w:val="24"/>
          <w:szCs w:val="24"/>
          <w:lang w:val="en-GB"/>
        </w:rPr>
        <w:t>Greensill’s insolvency administrator brought an action against all insurers seeking a declaration that the D&amp;O excess insurance would remain in force until its expiry at the end of 2024.</w:t>
      </w:r>
      <w:r w:rsidR="00D33077">
        <w:rPr>
          <w:sz w:val="24"/>
          <w:szCs w:val="24"/>
          <w:lang w:val="en-GB"/>
        </w:rPr>
        <w:t xml:space="preserve"> </w:t>
      </w:r>
      <w:r w:rsidR="00724535" w:rsidRPr="00AA7C7F">
        <w:rPr>
          <w:sz w:val="24"/>
          <w:szCs w:val="24"/>
          <w:lang w:val="en-US"/>
        </w:rPr>
        <w:t>The Cologne Court of Appeal dismissed the claim</w:t>
      </w:r>
      <w:r w:rsidR="00D33077">
        <w:rPr>
          <w:sz w:val="24"/>
          <w:szCs w:val="24"/>
          <w:lang w:val="en-US"/>
        </w:rPr>
        <w:t xml:space="preserve"> against one of the excess insurers</w:t>
      </w:r>
      <w:r w:rsidR="00724535" w:rsidRPr="00AA7C7F">
        <w:rPr>
          <w:sz w:val="24"/>
          <w:szCs w:val="24"/>
          <w:lang w:val="en-US"/>
        </w:rPr>
        <w:t>.</w:t>
      </w:r>
      <w:r w:rsidR="00FA323E" w:rsidRPr="00036671">
        <w:rPr>
          <w:vertAlign w:val="superscript"/>
          <w:lang w:val="en-GB"/>
        </w:rPr>
        <w:footnoteReference w:id="42"/>
      </w:r>
      <w:r w:rsidR="00D33077">
        <w:rPr>
          <w:sz w:val="24"/>
          <w:szCs w:val="24"/>
          <w:lang w:val="en-US"/>
        </w:rPr>
        <w:t xml:space="preserve"> The proceedings in Munich against the primary and another excess insurer are still pending before the Munich district court.</w:t>
      </w:r>
    </w:p>
    <w:p w14:paraId="42DD696F" w14:textId="6F094576" w:rsidR="009344D8" w:rsidRPr="00AA7C7F" w:rsidRDefault="005F30EE" w:rsidP="005F30EE">
      <w:pPr>
        <w:tabs>
          <w:tab w:val="left" w:pos="426"/>
        </w:tabs>
        <w:rPr>
          <w:sz w:val="24"/>
          <w:szCs w:val="24"/>
          <w:lang w:val="en-GB"/>
        </w:rPr>
      </w:pPr>
      <w:r w:rsidRPr="00AA7C7F">
        <w:rPr>
          <w:b/>
          <w:sz w:val="24"/>
          <w:szCs w:val="24"/>
          <w:lang w:val="en-GB"/>
        </w:rPr>
        <w:t>2.</w:t>
      </w:r>
      <w:r w:rsidRPr="00AA7C7F">
        <w:rPr>
          <w:b/>
          <w:sz w:val="24"/>
          <w:szCs w:val="24"/>
          <w:lang w:val="en-GB"/>
        </w:rPr>
        <w:tab/>
        <w:t xml:space="preserve">Wording of the </w:t>
      </w:r>
      <w:r w:rsidR="009344D8" w:rsidRPr="00AA7C7F">
        <w:rPr>
          <w:b/>
          <w:bCs/>
          <w:sz w:val="24"/>
          <w:szCs w:val="24"/>
          <w:lang w:val="en-US"/>
        </w:rPr>
        <w:t>Clauses</w:t>
      </w:r>
      <w:r w:rsidR="00151D27">
        <w:rPr>
          <w:b/>
          <w:bCs/>
          <w:sz w:val="24"/>
          <w:szCs w:val="24"/>
          <w:lang w:val="en-US"/>
        </w:rPr>
        <w:t xml:space="preserve"> 10.10 and 10.11</w:t>
      </w:r>
    </w:p>
    <w:p w14:paraId="128EDBA1" w14:textId="77777777" w:rsidR="005F30EE" w:rsidRPr="00AA7C7F" w:rsidRDefault="005F30EE" w:rsidP="005F30EE">
      <w:pPr>
        <w:tabs>
          <w:tab w:val="left" w:pos="426"/>
        </w:tabs>
        <w:rPr>
          <w:bCs/>
          <w:sz w:val="24"/>
          <w:szCs w:val="24"/>
          <w:lang w:val="en-US"/>
        </w:rPr>
      </w:pPr>
      <w:r w:rsidRPr="00AA7C7F">
        <w:rPr>
          <w:bCs/>
          <w:sz w:val="24"/>
          <w:szCs w:val="24"/>
          <w:lang w:val="en-US"/>
        </w:rPr>
        <w:t>The relevant clauses read as follows:</w:t>
      </w:r>
    </w:p>
    <w:p w14:paraId="30306661" w14:textId="4CAB4FA2" w:rsidR="00825EFD" w:rsidRPr="00AA7C7F" w:rsidRDefault="00825EFD" w:rsidP="00CE675C">
      <w:pPr>
        <w:tabs>
          <w:tab w:val="left" w:pos="426"/>
        </w:tabs>
        <w:spacing w:line="240" w:lineRule="auto"/>
        <w:rPr>
          <w:i/>
          <w:sz w:val="24"/>
          <w:szCs w:val="24"/>
          <w:lang w:val="en-GB"/>
        </w:rPr>
      </w:pPr>
      <w:r w:rsidRPr="00AA7C7F">
        <w:rPr>
          <w:b/>
          <w:bCs/>
          <w:i/>
          <w:sz w:val="24"/>
          <w:szCs w:val="24"/>
          <w:lang w:val="en-US"/>
        </w:rPr>
        <w:t>10.10 Waiver of the right to void the contract</w:t>
      </w:r>
    </w:p>
    <w:p w14:paraId="4BD45BBA" w14:textId="77777777" w:rsidR="00825EFD" w:rsidRPr="00AA7C7F" w:rsidRDefault="00825EFD" w:rsidP="00CE675C">
      <w:pPr>
        <w:tabs>
          <w:tab w:val="left" w:pos="426"/>
        </w:tabs>
        <w:spacing w:line="240" w:lineRule="auto"/>
        <w:rPr>
          <w:i/>
          <w:sz w:val="24"/>
          <w:szCs w:val="24"/>
          <w:lang w:val="en-GB"/>
        </w:rPr>
      </w:pPr>
      <w:r w:rsidRPr="00AA7C7F">
        <w:rPr>
          <w:i/>
          <w:sz w:val="24"/>
          <w:szCs w:val="24"/>
          <w:vertAlign w:val="superscript"/>
          <w:lang w:val="en-US"/>
        </w:rPr>
        <w:t>1</w:t>
      </w:r>
      <w:r w:rsidRPr="00AA7C7F">
        <w:rPr>
          <w:i/>
          <w:sz w:val="24"/>
          <w:szCs w:val="24"/>
          <w:lang w:val="en-US"/>
        </w:rPr>
        <w:t>In the event that the insurer would be entitled to void the contract on the grounds of fraudulent misrepresentation, the insurer waives this right.</w:t>
      </w:r>
      <w:r w:rsidRPr="00AA7C7F">
        <w:rPr>
          <w:i/>
          <w:sz w:val="24"/>
          <w:szCs w:val="24"/>
          <w:vertAlign w:val="superscript"/>
          <w:lang w:val="en-US"/>
        </w:rPr>
        <w:t>2</w:t>
      </w:r>
      <w:r w:rsidRPr="00AA7C7F">
        <w:rPr>
          <w:i/>
          <w:sz w:val="24"/>
          <w:szCs w:val="24"/>
          <w:lang w:val="en-US"/>
        </w:rPr>
        <w:t>However, this waiver shall not apply in respect of those insured persons who a) have given cause for the exercise of the right, or b) were aware, at the time of concluding this contract, of the acts which would entitle the insurer to exercise the rights.</w:t>
      </w:r>
    </w:p>
    <w:p w14:paraId="2CCFB9CD" w14:textId="0FBA3161" w:rsidR="00825EFD" w:rsidRPr="00CE675C" w:rsidRDefault="00825EFD" w:rsidP="00CE675C">
      <w:pPr>
        <w:tabs>
          <w:tab w:val="left" w:pos="426"/>
        </w:tabs>
        <w:spacing w:after="0" w:line="240" w:lineRule="auto"/>
        <w:rPr>
          <w:i/>
          <w:sz w:val="24"/>
          <w:szCs w:val="24"/>
          <w:lang w:val="en-GB"/>
        </w:rPr>
      </w:pPr>
      <w:r w:rsidRPr="00AA7C7F">
        <w:rPr>
          <w:b/>
          <w:bCs/>
          <w:i/>
          <w:sz w:val="24"/>
          <w:szCs w:val="24"/>
          <w:lang w:val="en-US"/>
        </w:rPr>
        <w:t>10.11</w:t>
      </w:r>
      <w:r w:rsidR="00151D27">
        <w:rPr>
          <w:b/>
          <w:bCs/>
          <w:i/>
          <w:sz w:val="24"/>
          <w:szCs w:val="24"/>
          <w:lang w:val="en-US"/>
        </w:rPr>
        <w:t xml:space="preserve"> [no heading]</w:t>
      </w:r>
    </w:p>
    <w:p w14:paraId="3817AF09" w14:textId="1BC1BFC1" w:rsidR="00825EFD" w:rsidRPr="00AA7C7F" w:rsidRDefault="00825EFD" w:rsidP="00CE675C">
      <w:pPr>
        <w:tabs>
          <w:tab w:val="left" w:pos="426"/>
        </w:tabs>
        <w:spacing w:after="0" w:line="240" w:lineRule="auto"/>
        <w:rPr>
          <w:i/>
          <w:sz w:val="24"/>
          <w:szCs w:val="24"/>
          <w:lang w:val="en-GB"/>
        </w:rPr>
      </w:pPr>
      <w:r w:rsidRPr="00AA7C7F">
        <w:rPr>
          <w:i/>
          <w:sz w:val="24"/>
          <w:szCs w:val="24"/>
          <w:vertAlign w:val="superscript"/>
          <w:lang w:val="en-US"/>
        </w:rPr>
        <w:t>1</w:t>
      </w:r>
      <w:r w:rsidRPr="00AA7C7F">
        <w:rPr>
          <w:i/>
          <w:sz w:val="24"/>
          <w:szCs w:val="24"/>
          <w:lang w:val="en-US"/>
        </w:rPr>
        <w:t>If the waiver is not legally permissible and the insurer declares the contract or the renewal agreement avoided the following legal consequences shall apply:</w:t>
      </w:r>
    </w:p>
    <w:p w14:paraId="7FA2C3A2" w14:textId="5B343CD8" w:rsidR="00825EFD" w:rsidRPr="00AA7C7F" w:rsidRDefault="00825EFD" w:rsidP="00CE675C">
      <w:pPr>
        <w:tabs>
          <w:tab w:val="left" w:pos="426"/>
        </w:tabs>
        <w:spacing w:after="0" w:line="240" w:lineRule="auto"/>
        <w:rPr>
          <w:i/>
          <w:sz w:val="24"/>
          <w:szCs w:val="24"/>
          <w:lang w:val="en-GB"/>
        </w:rPr>
      </w:pPr>
      <w:r w:rsidRPr="00AA7C7F">
        <w:rPr>
          <w:i/>
          <w:sz w:val="24"/>
          <w:szCs w:val="24"/>
          <w:vertAlign w:val="superscript"/>
          <w:lang w:val="en-US"/>
        </w:rPr>
        <w:t>2</w:t>
      </w:r>
      <w:r w:rsidR="00CE675C">
        <w:rPr>
          <w:i/>
          <w:sz w:val="24"/>
          <w:szCs w:val="24"/>
          <w:lang w:val="en-US"/>
        </w:rPr>
        <w:t xml:space="preserve">The contract or </w:t>
      </w:r>
      <w:r w:rsidRPr="00AA7C7F">
        <w:rPr>
          <w:i/>
          <w:sz w:val="24"/>
          <w:szCs w:val="24"/>
          <w:lang w:val="en-US"/>
        </w:rPr>
        <w:t>the renewal agreement</w:t>
      </w:r>
      <w:r w:rsidR="00CE675C">
        <w:rPr>
          <w:i/>
          <w:sz w:val="24"/>
          <w:szCs w:val="24"/>
          <w:lang w:val="en-US"/>
        </w:rPr>
        <w:t>, respectively,</w:t>
      </w:r>
      <w:r w:rsidRPr="00AA7C7F">
        <w:rPr>
          <w:i/>
          <w:sz w:val="24"/>
          <w:szCs w:val="24"/>
          <w:lang w:val="en-US"/>
        </w:rPr>
        <w:t xml:space="preserve"> shall be set aside with retroactive effect.</w:t>
      </w:r>
    </w:p>
    <w:p w14:paraId="00B56973" w14:textId="6E7A24A0" w:rsidR="00AA7C7F" w:rsidRDefault="00825EFD" w:rsidP="00CE675C">
      <w:pPr>
        <w:tabs>
          <w:tab w:val="left" w:pos="426"/>
        </w:tabs>
        <w:spacing w:after="0" w:line="240" w:lineRule="auto"/>
        <w:rPr>
          <w:i/>
          <w:sz w:val="24"/>
          <w:szCs w:val="24"/>
          <w:lang w:val="en-US"/>
        </w:rPr>
      </w:pPr>
      <w:r w:rsidRPr="00AA7C7F">
        <w:rPr>
          <w:i/>
          <w:sz w:val="24"/>
          <w:szCs w:val="24"/>
          <w:vertAlign w:val="superscript"/>
          <w:lang w:val="en-US"/>
        </w:rPr>
        <w:t>3</w:t>
      </w:r>
      <w:r w:rsidR="00CE675C">
        <w:rPr>
          <w:i/>
          <w:sz w:val="24"/>
          <w:szCs w:val="24"/>
          <w:lang w:val="en-US"/>
        </w:rPr>
        <w:t>Th</w:t>
      </w:r>
      <w:r w:rsidRPr="00AA7C7F">
        <w:rPr>
          <w:i/>
          <w:sz w:val="24"/>
          <w:szCs w:val="24"/>
          <w:lang w:val="en-US"/>
        </w:rPr>
        <w:t xml:space="preserve">e contracting parties agree that the </w:t>
      </w:r>
      <w:r w:rsidR="00CE675C">
        <w:rPr>
          <w:i/>
          <w:sz w:val="24"/>
          <w:szCs w:val="24"/>
          <w:lang w:val="en-US"/>
        </w:rPr>
        <w:t xml:space="preserve">contract or </w:t>
      </w:r>
      <w:r w:rsidR="00CE675C" w:rsidRPr="00AA7C7F">
        <w:rPr>
          <w:i/>
          <w:sz w:val="24"/>
          <w:szCs w:val="24"/>
          <w:lang w:val="en-US"/>
        </w:rPr>
        <w:t>the renewal agreement</w:t>
      </w:r>
      <w:r w:rsidR="00CE675C">
        <w:rPr>
          <w:i/>
          <w:sz w:val="24"/>
          <w:szCs w:val="24"/>
          <w:lang w:val="en-US"/>
        </w:rPr>
        <w:t>, respectively,</w:t>
      </w:r>
      <w:r w:rsidR="00CE675C" w:rsidRPr="00AA7C7F">
        <w:rPr>
          <w:i/>
          <w:sz w:val="24"/>
          <w:szCs w:val="24"/>
          <w:lang w:val="en-US"/>
        </w:rPr>
        <w:t xml:space="preserve"> </w:t>
      </w:r>
      <w:r w:rsidRPr="00AA7C7F">
        <w:rPr>
          <w:i/>
          <w:sz w:val="24"/>
          <w:szCs w:val="24"/>
          <w:lang w:val="en-US"/>
        </w:rPr>
        <w:t>would nevertheless have been concluded in respect of those insured persons who did not commit the fraudulent misrepresentation or who were unaware of the fraudulent misrepresentation at the time of the extension of this contract.</w:t>
      </w:r>
    </w:p>
    <w:p w14:paraId="0D0E5EAE" w14:textId="7984058E" w:rsidR="00CE675C" w:rsidRPr="00CE675C" w:rsidRDefault="00CE675C" w:rsidP="00CE675C">
      <w:pPr>
        <w:tabs>
          <w:tab w:val="left" w:pos="426"/>
        </w:tabs>
        <w:spacing w:after="0" w:line="240" w:lineRule="auto"/>
        <w:rPr>
          <w:i/>
          <w:sz w:val="24"/>
          <w:szCs w:val="24"/>
          <w:lang w:val="en-GB"/>
        </w:rPr>
      </w:pPr>
      <w:r w:rsidRPr="00CE675C">
        <w:rPr>
          <w:i/>
          <w:iCs/>
          <w:sz w:val="24"/>
          <w:szCs w:val="24"/>
          <w:vertAlign w:val="superscript"/>
          <w:lang w:val="en-GB"/>
        </w:rPr>
        <w:t>4</w:t>
      </w:r>
      <w:r>
        <w:rPr>
          <w:i/>
          <w:sz w:val="24"/>
          <w:szCs w:val="24"/>
          <w:lang w:val="en-US"/>
        </w:rPr>
        <w:t xml:space="preserve">The contract or </w:t>
      </w:r>
      <w:r w:rsidRPr="00CE675C">
        <w:rPr>
          <w:i/>
          <w:iCs/>
          <w:sz w:val="24"/>
          <w:szCs w:val="24"/>
          <w:lang w:val="en-GB"/>
        </w:rPr>
        <w:t>the renewal agreement</w:t>
      </w:r>
      <w:r>
        <w:rPr>
          <w:i/>
          <w:sz w:val="24"/>
          <w:szCs w:val="24"/>
          <w:lang w:val="en-US"/>
        </w:rPr>
        <w:t>, respectively,</w:t>
      </w:r>
      <w:r w:rsidRPr="00AA7C7F">
        <w:rPr>
          <w:i/>
          <w:sz w:val="24"/>
          <w:szCs w:val="24"/>
          <w:lang w:val="en-US"/>
        </w:rPr>
        <w:t xml:space="preserve"> </w:t>
      </w:r>
      <w:r w:rsidRPr="00CE675C">
        <w:rPr>
          <w:i/>
          <w:iCs/>
          <w:sz w:val="24"/>
          <w:szCs w:val="24"/>
          <w:lang w:val="en-GB"/>
        </w:rPr>
        <w:t>therefore remains in force in relation to these insured persons.</w:t>
      </w:r>
    </w:p>
    <w:p w14:paraId="67644F41" w14:textId="27FFFC08" w:rsidR="00624D8F" w:rsidRPr="00624D8F" w:rsidRDefault="00CE675C" w:rsidP="00CE675C">
      <w:pPr>
        <w:tabs>
          <w:tab w:val="left" w:pos="426"/>
        </w:tabs>
        <w:spacing w:line="240" w:lineRule="auto"/>
        <w:rPr>
          <w:i/>
          <w:sz w:val="24"/>
          <w:szCs w:val="24"/>
          <w:lang w:val="en-GB"/>
        </w:rPr>
      </w:pPr>
      <w:r w:rsidRPr="00CE675C">
        <w:rPr>
          <w:i/>
          <w:iCs/>
          <w:sz w:val="24"/>
          <w:szCs w:val="24"/>
          <w:vertAlign w:val="superscript"/>
          <w:lang w:val="en-GB"/>
        </w:rPr>
        <w:t>5</w:t>
      </w:r>
      <w:r w:rsidRPr="00CE675C">
        <w:rPr>
          <w:i/>
          <w:iCs/>
          <w:sz w:val="24"/>
          <w:szCs w:val="24"/>
          <w:lang w:val="en-GB"/>
        </w:rPr>
        <w:t>Furthermore, the declaration of avo</w:t>
      </w:r>
      <w:r>
        <w:rPr>
          <w:i/>
          <w:iCs/>
          <w:sz w:val="24"/>
          <w:szCs w:val="24"/>
          <w:lang w:val="en-GB"/>
        </w:rPr>
        <w:t>id</w:t>
      </w:r>
      <w:r w:rsidRPr="00CE675C">
        <w:rPr>
          <w:i/>
          <w:iCs/>
          <w:sz w:val="24"/>
          <w:szCs w:val="24"/>
          <w:lang w:val="en-GB"/>
        </w:rPr>
        <w:t>ance has the effect that there is no insurance cover with retroactive effect for any circumstances directly related to the grounds for avoidance.</w:t>
      </w:r>
    </w:p>
    <w:p w14:paraId="36879B94" w14:textId="301A6C31" w:rsidR="005F30EE" w:rsidRPr="00AA7C7F" w:rsidRDefault="005F30EE" w:rsidP="005F30EE">
      <w:pPr>
        <w:tabs>
          <w:tab w:val="left" w:pos="426"/>
        </w:tabs>
        <w:rPr>
          <w:b/>
          <w:sz w:val="24"/>
          <w:szCs w:val="24"/>
          <w:lang w:val="en-GB"/>
        </w:rPr>
      </w:pPr>
      <w:r w:rsidRPr="00AA7C7F">
        <w:rPr>
          <w:b/>
          <w:sz w:val="24"/>
          <w:szCs w:val="24"/>
          <w:lang w:val="en-GB"/>
        </w:rPr>
        <w:t>3.</w:t>
      </w:r>
      <w:r w:rsidRPr="00AA7C7F">
        <w:rPr>
          <w:b/>
          <w:sz w:val="24"/>
          <w:szCs w:val="24"/>
          <w:lang w:val="en-GB"/>
        </w:rPr>
        <w:tab/>
        <w:t>Decision of the Cologne Court of Appeal</w:t>
      </w:r>
    </w:p>
    <w:p w14:paraId="32BD56FA" w14:textId="1CD41DAE" w:rsidR="00FA323E" w:rsidRPr="00FA323E" w:rsidRDefault="0015031F" w:rsidP="0015031F">
      <w:pPr>
        <w:tabs>
          <w:tab w:val="left" w:pos="426"/>
        </w:tabs>
        <w:rPr>
          <w:sz w:val="24"/>
          <w:szCs w:val="24"/>
          <w:lang w:val="en-GB"/>
        </w:rPr>
      </w:pPr>
      <w:r w:rsidRPr="0015031F">
        <w:rPr>
          <w:sz w:val="24"/>
          <w:szCs w:val="24"/>
          <w:lang w:val="en-US"/>
        </w:rPr>
        <w:t xml:space="preserve">The Cologne Court of Appeal ruled that the clauses </w:t>
      </w:r>
      <w:r w:rsidR="005912CC">
        <w:rPr>
          <w:sz w:val="24"/>
          <w:szCs w:val="24"/>
          <w:lang w:val="en-US"/>
        </w:rPr>
        <w:t xml:space="preserve">10.10 and. 10.11 </w:t>
      </w:r>
      <w:r w:rsidRPr="0015031F">
        <w:rPr>
          <w:sz w:val="24"/>
          <w:szCs w:val="24"/>
          <w:lang w:val="en-US"/>
        </w:rPr>
        <w:t xml:space="preserve">were invalid, as they would benefit the company in the event of joint and several internal liability on the part of both honest and dishonest </w:t>
      </w:r>
      <w:r w:rsidR="00151D27">
        <w:rPr>
          <w:sz w:val="24"/>
          <w:szCs w:val="24"/>
          <w:lang w:val="en-US"/>
        </w:rPr>
        <w:t>board members</w:t>
      </w:r>
      <w:r w:rsidRPr="0015031F">
        <w:rPr>
          <w:sz w:val="24"/>
          <w:szCs w:val="24"/>
          <w:lang w:val="en-US"/>
        </w:rPr>
        <w:t xml:space="preserve">. </w:t>
      </w:r>
      <w:r w:rsidR="00151D27" w:rsidRPr="00151D27">
        <w:rPr>
          <w:sz w:val="24"/>
          <w:szCs w:val="24"/>
          <w:lang w:val="en-US"/>
        </w:rPr>
        <w:t>If insurance cover were to continue for honest board members, this would mean that the company would be compensated for any losses, even though the conduct of the dishonest board members would, by law, be attributed to the company.</w:t>
      </w:r>
      <w:r w:rsidRPr="0015031F">
        <w:rPr>
          <w:sz w:val="24"/>
          <w:szCs w:val="24"/>
          <w:lang w:val="en-US"/>
        </w:rPr>
        <w:t xml:space="preserve"> </w:t>
      </w:r>
      <w:r w:rsidR="009F4F82" w:rsidRPr="009F4F82">
        <w:rPr>
          <w:sz w:val="24"/>
          <w:szCs w:val="24"/>
          <w:lang w:val="en-US"/>
        </w:rPr>
        <w:t>Since, for the purposes of attribution, the company is treated as if it had acted fraudulently itself, the Cologne Court of Appeal ruled that the advantage accruing to the company as a result of retaining the clauses would be contrary to public policy.</w:t>
      </w:r>
      <w:r w:rsidR="00C3013F" w:rsidRPr="00036671">
        <w:rPr>
          <w:vertAlign w:val="superscript"/>
          <w:lang w:val="en-GB"/>
        </w:rPr>
        <w:footnoteReference w:id="43"/>
      </w:r>
    </w:p>
    <w:p w14:paraId="1BDA22B0" w14:textId="3C43B21C" w:rsidR="006001A0" w:rsidRDefault="00624D8F" w:rsidP="0015031F">
      <w:pPr>
        <w:tabs>
          <w:tab w:val="left" w:pos="426"/>
        </w:tabs>
        <w:rPr>
          <w:sz w:val="24"/>
          <w:szCs w:val="24"/>
          <w:lang w:val="en-GB"/>
        </w:rPr>
      </w:pPr>
      <w:r w:rsidRPr="00624D8F">
        <w:rPr>
          <w:sz w:val="24"/>
          <w:szCs w:val="24"/>
          <w:lang w:val="en-GB"/>
        </w:rPr>
        <w:t xml:space="preserve">At first glance, this reasoning seems to be very doctrinal and narrow-minded. However, </w:t>
      </w:r>
      <w:r w:rsidR="006001A0" w:rsidRPr="006001A0">
        <w:rPr>
          <w:sz w:val="24"/>
          <w:szCs w:val="24"/>
          <w:lang w:val="en-GB"/>
        </w:rPr>
        <w:t>it must be borne</w:t>
      </w:r>
      <w:r w:rsidR="006001A0" w:rsidRPr="00624D8F">
        <w:rPr>
          <w:sz w:val="24"/>
          <w:szCs w:val="24"/>
          <w:lang w:val="en-GB"/>
        </w:rPr>
        <w:t xml:space="preserve"> </w:t>
      </w:r>
      <w:r w:rsidRPr="00624D8F">
        <w:rPr>
          <w:sz w:val="24"/>
          <w:szCs w:val="24"/>
          <w:lang w:val="en-GB"/>
        </w:rPr>
        <w:t xml:space="preserve">in mind that fraudulent misrepresentation </w:t>
      </w:r>
      <w:r w:rsidR="00D52064" w:rsidRPr="00D52064">
        <w:rPr>
          <w:sz w:val="24"/>
          <w:szCs w:val="24"/>
          <w:lang w:val="en-GB"/>
        </w:rPr>
        <w:t xml:space="preserve">not only entitles the other party to </w:t>
      </w:r>
      <w:r w:rsidR="00D52064">
        <w:rPr>
          <w:sz w:val="24"/>
          <w:szCs w:val="24"/>
          <w:lang w:val="en-GB"/>
        </w:rPr>
        <w:t xml:space="preserve">avoid </w:t>
      </w:r>
      <w:r w:rsidR="00D52064" w:rsidRPr="00D52064">
        <w:rPr>
          <w:sz w:val="24"/>
          <w:szCs w:val="24"/>
          <w:lang w:val="en-GB"/>
        </w:rPr>
        <w:t xml:space="preserve">the contract, but also gives </w:t>
      </w:r>
      <w:r w:rsidR="00FF0227">
        <w:rPr>
          <w:sz w:val="24"/>
          <w:szCs w:val="24"/>
          <w:lang w:val="en-GB"/>
        </w:rPr>
        <w:t>the other party</w:t>
      </w:r>
      <w:r w:rsidR="00D52064">
        <w:rPr>
          <w:sz w:val="24"/>
          <w:szCs w:val="24"/>
          <w:lang w:val="en-GB"/>
        </w:rPr>
        <w:t xml:space="preserve"> </w:t>
      </w:r>
      <w:r w:rsidR="00D52064" w:rsidRPr="00D52064">
        <w:rPr>
          <w:sz w:val="24"/>
          <w:szCs w:val="24"/>
          <w:lang w:val="en-GB"/>
        </w:rPr>
        <w:t xml:space="preserve">a right to </w:t>
      </w:r>
      <w:r w:rsidR="00FF0227">
        <w:rPr>
          <w:sz w:val="24"/>
          <w:szCs w:val="24"/>
          <w:lang w:val="en-GB"/>
        </w:rPr>
        <w:t>claim damages</w:t>
      </w:r>
      <w:r w:rsidRPr="00624D8F">
        <w:rPr>
          <w:sz w:val="24"/>
          <w:szCs w:val="24"/>
          <w:lang w:val="en-GB"/>
        </w:rPr>
        <w:t>.</w:t>
      </w:r>
      <w:r w:rsidR="00FA323E" w:rsidRPr="00036671">
        <w:rPr>
          <w:vertAlign w:val="superscript"/>
          <w:lang w:val="en-GB"/>
        </w:rPr>
        <w:footnoteReference w:id="44"/>
      </w:r>
      <w:r w:rsidRPr="00624D8F">
        <w:rPr>
          <w:sz w:val="24"/>
          <w:szCs w:val="24"/>
          <w:lang w:val="en-GB"/>
        </w:rPr>
        <w:t xml:space="preserve"> </w:t>
      </w:r>
      <w:r w:rsidR="006001A0">
        <w:rPr>
          <w:sz w:val="24"/>
          <w:szCs w:val="24"/>
          <w:lang w:val="en-GB"/>
        </w:rPr>
        <w:t>Under</w:t>
      </w:r>
      <w:r w:rsidRPr="00624D8F">
        <w:rPr>
          <w:sz w:val="24"/>
          <w:szCs w:val="24"/>
          <w:lang w:val="en-GB"/>
        </w:rPr>
        <w:t xml:space="preserve"> § 249 para 1 BGB</w:t>
      </w:r>
      <w:r w:rsidR="006001A0">
        <w:rPr>
          <w:sz w:val="24"/>
          <w:szCs w:val="24"/>
          <w:lang w:val="en-GB"/>
        </w:rPr>
        <w:t>,</w:t>
      </w:r>
      <w:r w:rsidRPr="00624D8F">
        <w:rPr>
          <w:sz w:val="24"/>
          <w:szCs w:val="24"/>
          <w:lang w:val="en-GB"/>
        </w:rPr>
        <w:t xml:space="preserve"> </w:t>
      </w:r>
      <w:r w:rsidR="0003775E" w:rsidRPr="006001A0">
        <w:rPr>
          <w:sz w:val="24"/>
          <w:szCs w:val="24"/>
          <w:lang w:val="en-GB"/>
        </w:rPr>
        <w:t>the party liable for damages must restore the injured party to the position they would have been in had the breach of contract not occurred.</w:t>
      </w:r>
      <w:r w:rsidRPr="00624D8F">
        <w:rPr>
          <w:sz w:val="24"/>
          <w:szCs w:val="24"/>
          <w:lang w:val="en-GB"/>
        </w:rPr>
        <w:t xml:space="preserve"> Had </w:t>
      </w:r>
      <w:r w:rsidR="00FF0227">
        <w:rPr>
          <w:sz w:val="24"/>
          <w:szCs w:val="24"/>
          <w:lang w:val="en-GB"/>
        </w:rPr>
        <w:t>Greensill’s</w:t>
      </w:r>
      <w:r w:rsidRPr="00624D8F">
        <w:rPr>
          <w:sz w:val="24"/>
          <w:szCs w:val="24"/>
          <w:lang w:val="en-GB"/>
        </w:rPr>
        <w:t xml:space="preserve"> </w:t>
      </w:r>
      <w:r w:rsidR="00FA323E">
        <w:rPr>
          <w:sz w:val="24"/>
          <w:szCs w:val="24"/>
          <w:lang w:val="en-GB"/>
        </w:rPr>
        <w:t>executive board members</w:t>
      </w:r>
      <w:r w:rsidRPr="00624D8F">
        <w:rPr>
          <w:sz w:val="24"/>
          <w:szCs w:val="24"/>
          <w:lang w:val="en-GB"/>
        </w:rPr>
        <w:t xml:space="preserve"> </w:t>
      </w:r>
      <w:r w:rsidR="0003775E" w:rsidRPr="006001A0">
        <w:rPr>
          <w:sz w:val="24"/>
          <w:szCs w:val="24"/>
          <w:lang w:val="en-GB"/>
        </w:rPr>
        <w:t xml:space="preserve">not made a misrepresentation when renewing the contract, it must be assumed that the insurer would either not have renewed the contract or would have excluded from cover all insurance claims relating to the misrepresentation. </w:t>
      </w:r>
      <w:r w:rsidR="0003775E" w:rsidRPr="0003775E">
        <w:rPr>
          <w:sz w:val="24"/>
          <w:szCs w:val="24"/>
          <w:lang w:val="en-GB"/>
        </w:rPr>
        <w:t xml:space="preserve">Consequently, the insurer’s claim for damages would have included the right to require Greensill to agree </w:t>
      </w:r>
      <w:r w:rsidR="003169C3" w:rsidRPr="003169C3">
        <w:rPr>
          <w:sz w:val="24"/>
          <w:szCs w:val="24"/>
          <w:lang w:val="en-GB"/>
        </w:rPr>
        <w:t>that the contract not be renewed or that it be amended</w:t>
      </w:r>
      <w:r w:rsidR="0003775E" w:rsidRPr="006001A0">
        <w:rPr>
          <w:sz w:val="24"/>
          <w:szCs w:val="24"/>
          <w:lang w:val="en-GB"/>
        </w:rPr>
        <w:t xml:space="preserve">. Since, pursuant to </w:t>
      </w:r>
      <w:r w:rsidR="0003775E">
        <w:rPr>
          <w:sz w:val="24"/>
          <w:szCs w:val="24"/>
          <w:lang w:val="en-GB"/>
        </w:rPr>
        <w:t xml:space="preserve">§ </w:t>
      </w:r>
      <w:r w:rsidR="0003775E" w:rsidRPr="006001A0">
        <w:rPr>
          <w:sz w:val="24"/>
          <w:szCs w:val="24"/>
          <w:lang w:val="en-GB"/>
        </w:rPr>
        <w:t>276</w:t>
      </w:r>
      <w:r w:rsidR="0003775E">
        <w:rPr>
          <w:sz w:val="24"/>
          <w:szCs w:val="24"/>
          <w:lang w:val="en-GB"/>
        </w:rPr>
        <w:t xml:space="preserve"> para </w:t>
      </w:r>
      <w:r w:rsidR="0003775E" w:rsidRPr="006001A0">
        <w:rPr>
          <w:sz w:val="24"/>
          <w:szCs w:val="24"/>
          <w:lang w:val="en-GB"/>
        </w:rPr>
        <w:t>3</w:t>
      </w:r>
      <w:r w:rsidR="0003775E">
        <w:rPr>
          <w:sz w:val="24"/>
          <w:szCs w:val="24"/>
          <w:lang w:val="en-GB"/>
        </w:rPr>
        <w:t xml:space="preserve"> </w:t>
      </w:r>
      <w:r w:rsidR="0003775E" w:rsidRPr="006001A0">
        <w:rPr>
          <w:sz w:val="24"/>
          <w:szCs w:val="24"/>
          <w:lang w:val="en-GB"/>
        </w:rPr>
        <w:t>BGB, no pre-agreed exclusion of liability for intentional acts is permissible</w:t>
      </w:r>
      <w:r w:rsidR="00FA323E" w:rsidRPr="00FA323E">
        <w:rPr>
          <w:sz w:val="24"/>
          <w:szCs w:val="24"/>
          <w:lang w:val="en-GB"/>
        </w:rPr>
        <w:t>,</w:t>
      </w:r>
      <w:r w:rsidR="00C3013F" w:rsidRPr="00036671">
        <w:rPr>
          <w:vertAlign w:val="superscript"/>
          <w:lang w:val="en-GB"/>
        </w:rPr>
        <w:footnoteReference w:id="45"/>
      </w:r>
      <w:r w:rsidR="00FA323E" w:rsidRPr="00FA323E">
        <w:rPr>
          <w:sz w:val="24"/>
          <w:szCs w:val="24"/>
          <w:lang w:val="en-GB"/>
        </w:rPr>
        <w:t xml:space="preserve"> and fraud constitutes a form of intentional act</w:t>
      </w:r>
      <w:r w:rsidR="0003775E">
        <w:rPr>
          <w:sz w:val="24"/>
          <w:szCs w:val="24"/>
          <w:lang w:val="en-GB"/>
        </w:rPr>
        <w:t xml:space="preserve">, </w:t>
      </w:r>
      <w:r w:rsidR="0003775E" w:rsidRPr="006001A0">
        <w:rPr>
          <w:sz w:val="24"/>
          <w:szCs w:val="24"/>
          <w:lang w:val="en-GB"/>
        </w:rPr>
        <w:t>the insurer could not have waived its right to rescind or amend the contract</w:t>
      </w:r>
      <w:r w:rsidR="00883B6A" w:rsidRPr="00883B6A">
        <w:rPr>
          <w:sz w:val="24"/>
          <w:szCs w:val="24"/>
          <w:lang w:val="en-GB"/>
        </w:rPr>
        <w:t>.</w:t>
      </w:r>
      <w:r w:rsidR="00883B6A">
        <w:rPr>
          <w:sz w:val="24"/>
          <w:szCs w:val="24"/>
          <w:lang w:val="en-GB"/>
        </w:rPr>
        <w:t xml:space="preserve"> </w:t>
      </w:r>
      <w:r w:rsidR="00992AA7" w:rsidRPr="00992AA7">
        <w:rPr>
          <w:sz w:val="24"/>
          <w:szCs w:val="24"/>
          <w:lang w:val="en-GB"/>
        </w:rPr>
        <w:t>The Cologne Court of Appeal</w:t>
      </w:r>
      <w:r w:rsidR="0003775E">
        <w:rPr>
          <w:sz w:val="24"/>
          <w:szCs w:val="24"/>
          <w:lang w:val="en-GB"/>
        </w:rPr>
        <w:t>’s</w:t>
      </w:r>
      <w:r w:rsidR="00992AA7" w:rsidRPr="00992AA7">
        <w:rPr>
          <w:sz w:val="24"/>
          <w:szCs w:val="24"/>
          <w:lang w:val="en-GB"/>
        </w:rPr>
        <w:t xml:space="preserve"> finding that the </w:t>
      </w:r>
      <w:r w:rsidR="0003775E">
        <w:rPr>
          <w:sz w:val="24"/>
          <w:szCs w:val="24"/>
          <w:lang w:val="en-GB"/>
        </w:rPr>
        <w:t xml:space="preserve">standard-form </w:t>
      </w:r>
      <w:r w:rsidR="00992AA7" w:rsidRPr="00992AA7">
        <w:rPr>
          <w:sz w:val="24"/>
          <w:szCs w:val="24"/>
          <w:lang w:val="en-GB"/>
        </w:rPr>
        <w:t>waiver</w:t>
      </w:r>
      <w:r w:rsidR="00D52064">
        <w:rPr>
          <w:sz w:val="24"/>
          <w:szCs w:val="24"/>
          <w:lang w:val="en-GB"/>
        </w:rPr>
        <w:t xml:space="preserve">, </w:t>
      </w:r>
      <w:r w:rsidR="00992AA7" w:rsidRPr="00992AA7">
        <w:rPr>
          <w:sz w:val="24"/>
          <w:szCs w:val="24"/>
          <w:lang w:val="en-GB"/>
        </w:rPr>
        <w:t xml:space="preserve">the </w:t>
      </w:r>
      <w:r w:rsidR="00D52064">
        <w:rPr>
          <w:sz w:val="24"/>
          <w:szCs w:val="24"/>
          <w:lang w:val="en-GB"/>
        </w:rPr>
        <w:t>‘</w:t>
      </w:r>
      <w:r w:rsidR="00992AA7" w:rsidRPr="00992AA7">
        <w:rPr>
          <w:sz w:val="24"/>
          <w:szCs w:val="24"/>
          <w:lang w:val="en-GB"/>
        </w:rPr>
        <w:t>severability clause</w:t>
      </w:r>
      <w:r w:rsidR="00D52064">
        <w:rPr>
          <w:sz w:val="24"/>
          <w:szCs w:val="24"/>
          <w:lang w:val="en-GB"/>
        </w:rPr>
        <w:t>’</w:t>
      </w:r>
      <w:r w:rsidR="00992AA7" w:rsidRPr="00992AA7">
        <w:rPr>
          <w:sz w:val="24"/>
          <w:szCs w:val="24"/>
          <w:lang w:val="en-GB"/>
        </w:rPr>
        <w:t xml:space="preserve"> </w:t>
      </w:r>
      <w:r w:rsidR="00D52064">
        <w:rPr>
          <w:sz w:val="24"/>
          <w:szCs w:val="24"/>
          <w:lang w:val="en-GB"/>
        </w:rPr>
        <w:t xml:space="preserve">and the ‘fallback clause’ </w:t>
      </w:r>
      <w:r w:rsidR="00992AA7" w:rsidRPr="00992AA7">
        <w:rPr>
          <w:sz w:val="24"/>
          <w:szCs w:val="24"/>
          <w:lang w:val="en-GB"/>
        </w:rPr>
        <w:t>are invalid would</w:t>
      </w:r>
      <w:r w:rsidR="00A31FA3">
        <w:rPr>
          <w:sz w:val="24"/>
          <w:szCs w:val="24"/>
          <w:lang w:val="en-GB"/>
        </w:rPr>
        <w:t xml:space="preserve"> </w:t>
      </w:r>
      <w:r w:rsidR="00D52064">
        <w:rPr>
          <w:sz w:val="24"/>
          <w:szCs w:val="24"/>
          <w:lang w:val="en-GB"/>
        </w:rPr>
        <w:t xml:space="preserve">therefore </w:t>
      </w:r>
      <w:r w:rsidR="00A31FA3">
        <w:rPr>
          <w:sz w:val="24"/>
          <w:szCs w:val="24"/>
          <w:lang w:val="en-GB"/>
        </w:rPr>
        <w:t>somehow</w:t>
      </w:r>
      <w:r w:rsidR="00992AA7" w:rsidRPr="00992AA7">
        <w:rPr>
          <w:sz w:val="24"/>
          <w:szCs w:val="24"/>
          <w:lang w:val="en-GB"/>
        </w:rPr>
        <w:t xml:space="preserve"> </w:t>
      </w:r>
      <w:r w:rsidR="0003775E" w:rsidRPr="0003775E">
        <w:rPr>
          <w:sz w:val="24"/>
          <w:szCs w:val="24"/>
          <w:lang w:val="en-GB"/>
        </w:rPr>
        <w:t xml:space="preserve">be consistent with </w:t>
      </w:r>
      <w:r w:rsidR="00A77E43">
        <w:rPr>
          <w:sz w:val="24"/>
          <w:szCs w:val="24"/>
          <w:lang w:val="en-GB"/>
        </w:rPr>
        <w:t>the</w:t>
      </w:r>
      <w:r w:rsidR="0003775E" w:rsidRPr="0003775E">
        <w:rPr>
          <w:sz w:val="24"/>
          <w:szCs w:val="24"/>
          <w:lang w:val="en-GB"/>
        </w:rPr>
        <w:t xml:space="preserve"> fundamental principle set out in </w:t>
      </w:r>
      <w:r w:rsidR="0003775E">
        <w:rPr>
          <w:sz w:val="24"/>
          <w:szCs w:val="24"/>
          <w:lang w:val="en-GB"/>
        </w:rPr>
        <w:t>§</w:t>
      </w:r>
      <w:r w:rsidR="006001A0" w:rsidRPr="006001A0">
        <w:rPr>
          <w:sz w:val="24"/>
          <w:szCs w:val="24"/>
          <w:lang w:val="en-GB"/>
        </w:rPr>
        <w:t xml:space="preserve"> 276</w:t>
      </w:r>
      <w:r w:rsidR="0003775E">
        <w:rPr>
          <w:sz w:val="24"/>
          <w:szCs w:val="24"/>
          <w:lang w:val="en-GB"/>
        </w:rPr>
        <w:t xml:space="preserve"> para </w:t>
      </w:r>
      <w:r w:rsidR="006001A0" w:rsidRPr="006001A0">
        <w:rPr>
          <w:sz w:val="24"/>
          <w:szCs w:val="24"/>
          <w:lang w:val="en-GB"/>
        </w:rPr>
        <w:t>3</w:t>
      </w:r>
      <w:r w:rsidR="0003775E">
        <w:rPr>
          <w:sz w:val="24"/>
          <w:szCs w:val="24"/>
          <w:lang w:val="en-GB"/>
        </w:rPr>
        <w:t xml:space="preserve"> BGB</w:t>
      </w:r>
      <w:r w:rsidR="006001A0" w:rsidRPr="006001A0">
        <w:rPr>
          <w:sz w:val="24"/>
          <w:szCs w:val="24"/>
          <w:lang w:val="en-GB"/>
        </w:rPr>
        <w:t>.</w:t>
      </w:r>
    </w:p>
    <w:p w14:paraId="3E22842E" w14:textId="6B5B3A3C" w:rsidR="00624D8F" w:rsidRDefault="00B27023" w:rsidP="0015031F">
      <w:pPr>
        <w:tabs>
          <w:tab w:val="left" w:pos="426"/>
        </w:tabs>
        <w:rPr>
          <w:sz w:val="24"/>
          <w:szCs w:val="24"/>
          <w:lang w:val="en-US"/>
        </w:rPr>
      </w:pPr>
      <w:r w:rsidRPr="00B27023">
        <w:rPr>
          <w:sz w:val="24"/>
          <w:szCs w:val="24"/>
          <w:lang w:val="en-GB"/>
        </w:rPr>
        <w:t xml:space="preserve">Even if the </w:t>
      </w:r>
      <w:r w:rsidR="002A569C">
        <w:rPr>
          <w:sz w:val="24"/>
          <w:szCs w:val="24"/>
          <w:lang w:val="en-GB"/>
        </w:rPr>
        <w:t>BGH</w:t>
      </w:r>
      <w:r w:rsidRPr="00B27023">
        <w:rPr>
          <w:sz w:val="24"/>
          <w:szCs w:val="24"/>
          <w:lang w:val="en-GB"/>
        </w:rPr>
        <w:t xml:space="preserve"> were to rule that the waiver </w:t>
      </w:r>
      <w:r w:rsidR="00432685">
        <w:rPr>
          <w:sz w:val="24"/>
          <w:szCs w:val="24"/>
          <w:lang w:val="en-GB"/>
        </w:rPr>
        <w:t>and the</w:t>
      </w:r>
      <w:r w:rsidRPr="00B27023">
        <w:rPr>
          <w:sz w:val="24"/>
          <w:szCs w:val="24"/>
          <w:lang w:val="en-GB"/>
        </w:rPr>
        <w:t xml:space="preserve"> severability clause is valid, contrary to the view of the </w:t>
      </w:r>
      <w:r w:rsidR="00031BE7">
        <w:rPr>
          <w:sz w:val="24"/>
          <w:szCs w:val="24"/>
          <w:lang w:val="en-GB"/>
        </w:rPr>
        <w:t>Cologne</w:t>
      </w:r>
      <w:r w:rsidRPr="00B27023">
        <w:rPr>
          <w:sz w:val="24"/>
          <w:szCs w:val="24"/>
          <w:lang w:val="en-GB"/>
        </w:rPr>
        <w:t xml:space="preserve"> Court of </w:t>
      </w:r>
      <w:r w:rsidR="00031BE7">
        <w:rPr>
          <w:sz w:val="24"/>
          <w:szCs w:val="24"/>
          <w:lang w:val="en-GB"/>
        </w:rPr>
        <w:t>Appeal</w:t>
      </w:r>
      <w:r w:rsidRPr="00B27023">
        <w:rPr>
          <w:sz w:val="24"/>
          <w:szCs w:val="24"/>
          <w:lang w:val="en-GB"/>
        </w:rPr>
        <w:t xml:space="preserve">, the insurer would </w:t>
      </w:r>
      <w:r w:rsidR="003169C3">
        <w:rPr>
          <w:sz w:val="24"/>
          <w:szCs w:val="24"/>
          <w:lang w:val="en-GB"/>
        </w:rPr>
        <w:t xml:space="preserve">therefore </w:t>
      </w:r>
      <w:r w:rsidR="00D52064">
        <w:rPr>
          <w:sz w:val="24"/>
          <w:szCs w:val="24"/>
          <w:lang w:val="en-GB"/>
        </w:rPr>
        <w:t xml:space="preserve">in any event </w:t>
      </w:r>
      <w:r w:rsidRPr="00B27023">
        <w:rPr>
          <w:sz w:val="24"/>
          <w:szCs w:val="24"/>
          <w:lang w:val="en-GB"/>
        </w:rPr>
        <w:t xml:space="preserve">be entitled to demand </w:t>
      </w:r>
      <w:r w:rsidR="003169C3" w:rsidRPr="003169C3">
        <w:rPr>
          <w:sz w:val="24"/>
          <w:szCs w:val="24"/>
          <w:lang w:val="en-GB"/>
        </w:rPr>
        <w:t>that the contract not be renewed or that it be amended</w:t>
      </w:r>
      <w:r w:rsidR="00992AA7">
        <w:rPr>
          <w:sz w:val="24"/>
          <w:szCs w:val="24"/>
          <w:lang w:val="en-GB"/>
        </w:rPr>
        <w:t xml:space="preserve">, </w:t>
      </w:r>
      <w:r w:rsidR="003169C3">
        <w:rPr>
          <w:sz w:val="24"/>
          <w:szCs w:val="24"/>
          <w:lang w:val="en-GB"/>
        </w:rPr>
        <w:t>unless</w:t>
      </w:r>
      <w:r>
        <w:rPr>
          <w:sz w:val="24"/>
          <w:szCs w:val="24"/>
          <w:lang w:val="en-GB"/>
        </w:rPr>
        <w:t xml:space="preserve"> this claim is not already time-barred according to §§ 195, 199 para. 1 BGB</w:t>
      </w:r>
      <w:r w:rsidR="00992AA7">
        <w:rPr>
          <w:sz w:val="24"/>
          <w:szCs w:val="24"/>
          <w:lang w:val="en-GB"/>
        </w:rPr>
        <w:t>.</w:t>
      </w:r>
      <w:r w:rsidRPr="00B27023">
        <w:rPr>
          <w:sz w:val="24"/>
          <w:szCs w:val="24"/>
          <w:lang w:val="en-US"/>
        </w:rPr>
        <w:t xml:space="preserve"> </w:t>
      </w:r>
      <w:r>
        <w:rPr>
          <w:sz w:val="24"/>
          <w:szCs w:val="24"/>
          <w:lang w:val="en-US"/>
        </w:rPr>
        <w:t xml:space="preserve">Since the insurers declared the contract void on the grounds </w:t>
      </w:r>
      <w:r w:rsidR="00031BE7">
        <w:rPr>
          <w:sz w:val="24"/>
          <w:szCs w:val="24"/>
          <w:lang w:val="en-US"/>
        </w:rPr>
        <w:t xml:space="preserve">of </w:t>
      </w:r>
      <w:r>
        <w:rPr>
          <w:sz w:val="24"/>
          <w:szCs w:val="24"/>
          <w:lang w:val="en-US"/>
        </w:rPr>
        <w:t xml:space="preserve">fraudulent misrepresentation on </w:t>
      </w:r>
      <w:r w:rsidR="00992AA7">
        <w:rPr>
          <w:sz w:val="24"/>
          <w:szCs w:val="24"/>
          <w:lang w:val="en-US"/>
        </w:rPr>
        <w:t>30 December 2021, t</w:t>
      </w:r>
      <w:r w:rsidRPr="00B27023">
        <w:rPr>
          <w:sz w:val="24"/>
          <w:szCs w:val="24"/>
          <w:lang w:val="en-US"/>
        </w:rPr>
        <w:t xml:space="preserve">he limitation period </w:t>
      </w:r>
      <w:r w:rsidR="003169C3">
        <w:rPr>
          <w:sz w:val="24"/>
          <w:szCs w:val="24"/>
          <w:lang w:val="en-US"/>
        </w:rPr>
        <w:t xml:space="preserve">for the damage claim </w:t>
      </w:r>
      <w:r w:rsidRPr="00B27023">
        <w:rPr>
          <w:sz w:val="24"/>
          <w:szCs w:val="24"/>
          <w:lang w:val="en-US"/>
        </w:rPr>
        <w:t>began on 31 December 202</w:t>
      </w:r>
      <w:r w:rsidR="00992AA7">
        <w:rPr>
          <w:sz w:val="24"/>
          <w:szCs w:val="24"/>
          <w:lang w:val="en-US"/>
        </w:rPr>
        <w:t>1</w:t>
      </w:r>
      <w:r w:rsidRPr="00B27023">
        <w:rPr>
          <w:sz w:val="24"/>
          <w:szCs w:val="24"/>
          <w:lang w:val="en-US"/>
        </w:rPr>
        <w:t xml:space="preserve"> at the latest and would therefore end on 31 December 202</w:t>
      </w:r>
      <w:r w:rsidR="00992AA7">
        <w:rPr>
          <w:sz w:val="24"/>
          <w:szCs w:val="24"/>
          <w:lang w:val="en-US"/>
        </w:rPr>
        <w:t>4</w:t>
      </w:r>
      <w:r w:rsidRPr="00B27023">
        <w:rPr>
          <w:sz w:val="24"/>
          <w:szCs w:val="24"/>
          <w:lang w:val="en-US"/>
        </w:rPr>
        <w:t>, provided that the limitation period has not been interrupted.</w:t>
      </w:r>
    </w:p>
    <w:p w14:paraId="5298D4BF" w14:textId="749D7FEF" w:rsidR="00031BE7" w:rsidRPr="00AA7C7F" w:rsidRDefault="00031BE7" w:rsidP="00031BE7">
      <w:pPr>
        <w:tabs>
          <w:tab w:val="left" w:pos="426"/>
        </w:tabs>
        <w:ind w:left="426" w:hanging="426"/>
        <w:rPr>
          <w:b/>
          <w:bCs/>
          <w:sz w:val="24"/>
          <w:szCs w:val="24"/>
          <w:lang w:val="en-US"/>
        </w:rPr>
      </w:pPr>
      <w:r>
        <w:rPr>
          <w:b/>
          <w:bCs/>
          <w:sz w:val="24"/>
          <w:szCs w:val="24"/>
          <w:lang w:val="en-US"/>
        </w:rPr>
        <w:t>D</w:t>
      </w:r>
      <w:r w:rsidRPr="00AA7C7F">
        <w:rPr>
          <w:b/>
          <w:bCs/>
          <w:sz w:val="24"/>
          <w:szCs w:val="24"/>
          <w:lang w:val="en-US"/>
        </w:rPr>
        <w:t>.</w:t>
      </w:r>
      <w:r w:rsidRPr="00AA7C7F">
        <w:rPr>
          <w:b/>
          <w:bCs/>
          <w:sz w:val="24"/>
          <w:szCs w:val="24"/>
          <w:lang w:val="en-US"/>
        </w:rPr>
        <w:tab/>
      </w:r>
      <w:r>
        <w:rPr>
          <w:b/>
          <w:bCs/>
          <w:sz w:val="24"/>
          <w:szCs w:val="24"/>
          <w:lang w:val="en-US"/>
        </w:rPr>
        <w:t>Conclu</w:t>
      </w:r>
      <w:r w:rsidR="00DB3FE3">
        <w:rPr>
          <w:b/>
          <w:bCs/>
          <w:sz w:val="24"/>
          <w:szCs w:val="24"/>
          <w:lang w:val="en-US"/>
        </w:rPr>
        <w:t>ding Remarks</w:t>
      </w:r>
    </w:p>
    <w:p w14:paraId="6051E863" w14:textId="14C33C3D" w:rsidR="002027BC" w:rsidRDefault="00CF6147" w:rsidP="004837EE">
      <w:pPr>
        <w:tabs>
          <w:tab w:val="left" w:pos="426"/>
        </w:tabs>
        <w:rPr>
          <w:sz w:val="24"/>
          <w:szCs w:val="24"/>
          <w:lang w:val="en-US"/>
        </w:rPr>
      </w:pPr>
      <w:r w:rsidRPr="00CF6147">
        <w:rPr>
          <w:sz w:val="24"/>
          <w:szCs w:val="24"/>
          <w:lang w:val="en-US"/>
        </w:rPr>
        <w:t xml:space="preserve">As has been shown in this paper, for members not only of the </w:t>
      </w:r>
      <w:r w:rsidR="00E94AE9">
        <w:rPr>
          <w:sz w:val="24"/>
          <w:szCs w:val="24"/>
          <w:lang w:val="en-US"/>
        </w:rPr>
        <w:t xml:space="preserve">executive </w:t>
      </w:r>
      <w:r w:rsidRPr="00CF6147">
        <w:rPr>
          <w:sz w:val="24"/>
          <w:szCs w:val="24"/>
          <w:lang w:val="en-US"/>
        </w:rPr>
        <w:t xml:space="preserve">board but also of </w:t>
      </w:r>
      <w:r w:rsidR="00E94AE9">
        <w:rPr>
          <w:sz w:val="24"/>
          <w:szCs w:val="24"/>
          <w:lang w:val="en-US"/>
        </w:rPr>
        <w:t xml:space="preserve">the </w:t>
      </w:r>
      <w:r w:rsidRPr="00CF6147">
        <w:rPr>
          <w:sz w:val="24"/>
          <w:szCs w:val="24"/>
          <w:lang w:val="en-US"/>
        </w:rPr>
        <w:t xml:space="preserve">supervisory board </w:t>
      </w:r>
      <w:r w:rsidR="00EE4DE5">
        <w:rPr>
          <w:sz w:val="24"/>
          <w:szCs w:val="24"/>
          <w:lang w:val="en-US"/>
        </w:rPr>
        <w:t>‘</w:t>
      </w:r>
      <w:r w:rsidRPr="00CF6147">
        <w:rPr>
          <w:sz w:val="24"/>
          <w:szCs w:val="24"/>
          <w:lang w:val="en-US"/>
        </w:rPr>
        <w:t>Side A</w:t>
      </w:r>
      <w:r w:rsidR="00EE4DE5">
        <w:rPr>
          <w:sz w:val="24"/>
          <w:szCs w:val="24"/>
          <w:lang w:val="en-US"/>
        </w:rPr>
        <w:t>’</w:t>
      </w:r>
      <w:r w:rsidRPr="00CF6147">
        <w:rPr>
          <w:sz w:val="24"/>
          <w:szCs w:val="24"/>
          <w:lang w:val="en-US"/>
        </w:rPr>
        <w:t xml:space="preserve"> D&amp;O insurance is most relevant since there is an eminent threat of internal </w:t>
      </w:r>
      <w:r w:rsidR="003169C3">
        <w:rPr>
          <w:sz w:val="24"/>
          <w:szCs w:val="24"/>
          <w:lang w:val="en-US"/>
        </w:rPr>
        <w:t xml:space="preserve">unlimited </w:t>
      </w:r>
      <w:r w:rsidRPr="00CF6147">
        <w:rPr>
          <w:sz w:val="24"/>
          <w:szCs w:val="24"/>
          <w:lang w:val="en-US"/>
        </w:rPr>
        <w:t xml:space="preserve">liability towards the company. </w:t>
      </w:r>
      <w:r w:rsidR="00EE4DE5" w:rsidRPr="00EE4DE5">
        <w:rPr>
          <w:sz w:val="24"/>
          <w:szCs w:val="24"/>
          <w:lang w:val="en-US"/>
        </w:rPr>
        <w:t xml:space="preserve">It is </w:t>
      </w:r>
      <w:r w:rsidR="00EE4DE5">
        <w:rPr>
          <w:sz w:val="24"/>
          <w:szCs w:val="24"/>
          <w:lang w:val="en-US"/>
        </w:rPr>
        <w:t xml:space="preserve">therefore not surprising </w:t>
      </w:r>
      <w:r w:rsidR="00EE4DE5" w:rsidRPr="00EE4DE5">
        <w:rPr>
          <w:sz w:val="24"/>
          <w:szCs w:val="24"/>
          <w:lang w:val="en-US"/>
        </w:rPr>
        <w:t xml:space="preserve">that, in practice, candidates make their decision to accept a position on the </w:t>
      </w:r>
      <w:r w:rsidR="00A77E43">
        <w:rPr>
          <w:sz w:val="24"/>
          <w:szCs w:val="24"/>
          <w:lang w:val="en-US"/>
        </w:rPr>
        <w:t>executive</w:t>
      </w:r>
      <w:r w:rsidR="00EE4DE5" w:rsidRPr="00EE4DE5">
        <w:rPr>
          <w:sz w:val="24"/>
          <w:szCs w:val="24"/>
          <w:lang w:val="en-US"/>
        </w:rPr>
        <w:t xml:space="preserve"> or supervisory board of a </w:t>
      </w:r>
      <w:r w:rsidR="00EE4DE5">
        <w:rPr>
          <w:sz w:val="24"/>
          <w:szCs w:val="24"/>
          <w:lang w:val="en-US"/>
        </w:rPr>
        <w:t xml:space="preserve">stock corporation </w:t>
      </w:r>
      <w:r w:rsidR="00EE4DE5" w:rsidRPr="00EE4DE5">
        <w:rPr>
          <w:sz w:val="24"/>
          <w:szCs w:val="24"/>
          <w:lang w:val="en-US"/>
        </w:rPr>
        <w:t xml:space="preserve">contingent upon the taking out of </w:t>
      </w:r>
      <w:r w:rsidR="00EE4DE5">
        <w:rPr>
          <w:sz w:val="24"/>
          <w:szCs w:val="24"/>
          <w:lang w:val="en-US"/>
        </w:rPr>
        <w:t xml:space="preserve">Side A </w:t>
      </w:r>
      <w:r w:rsidR="00EE4DE5" w:rsidRPr="00EE4DE5">
        <w:rPr>
          <w:sz w:val="24"/>
          <w:szCs w:val="24"/>
          <w:lang w:val="en-US"/>
        </w:rPr>
        <w:t>D&amp;O insurance</w:t>
      </w:r>
      <w:r w:rsidR="00EE4DE5">
        <w:rPr>
          <w:sz w:val="24"/>
          <w:szCs w:val="24"/>
          <w:lang w:val="en-US"/>
        </w:rPr>
        <w:t>.</w:t>
      </w:r>
      <w:r w:rsidR="00EE4DE5" w:rsidRPr="00036671">
        <w:rPr>
          <w:vertAlign w:val="superscript"/>
          <w:lang w:val="en-GB"/>
        </w:rPr>
        <w:footnoteReference w:id="46"/>
      </w:r>
      <w:r w:rsidR="00EE4DE5" w:rsidRPr="00EE4DE5">
        <w:rPr>
          <w:sz w:val="24"/>
          <w:szCs w:val="24"/>
          <w:lang w:val="en-US"/>
        </w:rPr>
        <w:t xml:space="preserve"> </w:t>
      </w:r>
      <w:r w:rsidR="002027BC" w:rsidRPr="002027BC">
        <w:rPr>
          <w:sz w:val="24"/>
          <w:szCs w:val="24"/>
          <w:lang w:val="en-US"/>
        </w:rPr>
        <w:t>The same applies to limited liability companies (GmbH) if the candidates are not also shareholders.</w:t>
      </w:r>
    </w:p>
    <w:p w14:paraId="0A9D27D3" w14:textId="49A53D7E" w:rsidR="00954615" w:rsidRDefault="004837EE" w:rsidP="004837EE">
      <w:pPr>
        <w:tabs>
          <w:tab w:val="left" w:pos="426"/>
        </w:tabs>
        <w:rPr>
          <w:sz w:val="24"/>
          <w:szCs w:val="24"/>
          <w:lang w:val="en-GB"/>
        </w:rPr>
      </w:pPr>
      <w:r w:rsidRPr="004837EE">
        <w:rPr>
          <w:sz w:val="24"/>
          <w:szCs w:val="24"/>
          <w:lang w:val="en-US"/>
        </w:rPr>
        <w:t xml:space="preserve">Should the </w:t>
      </w:r>
      <w:r>
        <w:rPr>
          <w:sz w:val="24"/>
          <w:szCs w:val="24"/>
          <w:lang w:val="en-US"/>
        </w:rPr>
        <w:t>BGH</w:t>
      </w:r>
      <w:r w:rsidRPr="004837EE">
        <w:rPr>
          <w:sz w:val="24"/>
          <w:szCs w:val="24"/>
          <w:lang w:val="en-US"/>
        </w:rPr>
        <w:t xml:space="preserve"> </w:t>
      </w:r>
      <w:r>
        <w:rPr>
          <w:sz w:val="24"/>
          <w:szCs w:val="24"/>
          <w:lang w:val="en-US"/>
        </w:rPr>
        <w:t xml:space="preserve">reverse the ruling </w:t>
      </w:r>
      <w:r w:rsidRPr="004837EE">
        <w:rPr>
          <w:sz w:val="24"/>
          <w:szCs w:val="24"/>
          <w:lang w:val="en-US"/>
        </w:rPr>
        <w:t xml:space="preserve">of the Frankfurt Court </w:t>
      </w:r>
      <w:r>
        <w:rPr>
          <w:sz w:val="24"/>
          <w:szCs w:val="24"/>
          <w:lang w:val="en-US"/>
        </w:rPr>
        <w:t xml:space="preserve">of Appeal </w:t>
      </w:r>
      <w:r w:rsidR="003169C3">
        <w:rPr>
          <w:sz w:val="24"/>
          <w:szCs w:val="24"/>
          <w:lang w:val="en-US"/>
        </w:rPr>
        <w:t xml:space="preserve">in </w:t>
      </w:r>
      <w:r w:rsidR="004E0CA5">
        <w:rPr>
          <w:sz w:val="24"/>
          <w:szCs w:val="24"/>
          <w:lang w:val="en-US"/>
        </w:rPr>
        <w:t xml:space="preserve">the </w:t>
      </w:r>
      <w:r w:rsidR="003169C3">
        <w:rPr>
          <w:sz w:val="24"/>
          <w:szCs w:val="24"/>
          <w:lang w:val="en-US"/>
        </w:rPr>
        <w:t xml:space="preserve">Wirecard case </w:t>
      </w:r>
      <w:r w:rsidRPr="004837EE">
        <w:rPr>
          <w:sz w:val="24"/>
          <w:szCs w:val="24"/>
          <w:lang w:val="en-US"/>
        </w:rPr>
        <w:t>on the grounds that, contrary to the view of the appeal court</w:t>
      </w:r>
      <w:r w:rsidR="00954615">
        <w:rPr>
          <w:sz w:val="24"/>
          <w:szCs w:val="24"/>
          <w:lang w:val="en-US"/>
        </w:rPr>
        <w:t xml:space="preserve"> (the decision on the appeal is to be expected not before late 2027)</w:t>
      </w:r>
      <w:r w:rsidRPr="004837EE">
        <w:rPr>
          <w:sz w:val="24"/>
          <w:szCs w:val="24"/>
          <w:lang w:val="en-US"/>
        </w:rPr>
        <w:t>, the costs clause is invalid</w:t>
      </w:r>
      <w:r>
        <w:rPr>
          <w:sz w:val="24"/>
          <w:szCs w:val="24"/>
          <w:lang w:val="en-US"/>
        </w:rPr>
        <w:t xml:space="preserve">, </w:t>
      </w:r>
      <w:r w:rsidRPr="00AA7C7F">
        <w:rPr>
          <w:sz w:val="24"/>
          <w:szCs w:val="24"/>
          <w:lang w:val="en-GB"/>
        </w:rPr>
        <w:t>a significant increase in premiums and, almost certainly, a reduction in the capacity provided by insurers is to be expected.</w:t>
      </w:r>
      <w:r>
        <w:rPr>
          <w:sz w:val="24"/>
          <w:szCs w:val="24"/>
          <w:lang w:val="en-GB"/>
        </w:rPr>
        <w:t xml:space="preserve"> </w:t>
      </w:r>
      <w:r w:rsidR="00954615" w:rsidRPr="00954615">
        <w:rPr>
          <w:sz w:val="24"/>
          <w:szCs w:val="24"/>
          <w:lang w:val="en-GB"/>
        </w:rPr>
        <w:t xml:space="preserve">The dispute </w:t>
      </w:r>
      <w:r w:rsidR="004E0CA5">
        <w:rPr>
          <w:sz w:val="24"/>
          <w:szCs w:val="24"/>
          <w:lang w:val="en-GB"/>
        </w:rPr>
        <w:t xml:space="preserve">in the Greensill case </w:t>
      </w:r>
      <w:r w:rsidR="00954615" w:rsidRPr="00954615">
        <w:rPr>
          <w:sz w:val="24"/>
          <w:szCs w:val="24"/>
          <w:lang w:val="en-GB"/>
        </w:rPr>
        <w:t xml:space="preserve">over the validity of the </w:t>
      </w:r>
      <w:r w:rsidR="004E0CA5">
        <w:rPr>
          <w:sz w:val="24"/>
          <w:szCs w:val="24"/>
          <w:lang w:val="en-GB"/>
        </w:rPr>
        <w:t>standard-form</w:t>
      </w:r>
      <w:r w:rsidR="00954615" w:rsidRPr="00954615">
        <w:rPr>
          <w:sz w:val="24"/>
          <w:szCs w:val="24"/>
          <w:lang w:val="en-GB"/>
        </w:rPr>
        <w:t xml:space="preserve"> waiver of the right to avoid the contract and/or renewal agreement</w:t>
      </w:r>
      <w:r w:rsidR="005B0E18">
        <w:rPr>
          <w:sz w:val="24"/>
          <w:szCs w:val="24"/>
          <w:lang w:val="en-GB"/>
        </w:rPr>
        <w:t>, the ‘severability clause’</w:t>
      </w:r>
      <w:r w:rsidR="00954615" w:rsidRPr="00954615">
        <w:rPr>
          <w:sz w:val="24"/>
          <w:szCs w:val="24"/>
          <w:lang w:val="en-GB"/>
        </w:rPr>
        <w:t xml:space="preserve"> and the </w:t>
      </w:r>
      <w:r w:rsidR="005B0E18">
        <w:rPr>
          <w:sz w:val="24"/>
          <w:szCs w:val="24"/>
          <w:lang w:val="en-GB"/>
        </w:rPr>
        <w:t>‘</w:t>
      </w:r>
      <w:r w:rsidR="00954615" w:rsidRPr="00954615">
        <w:rPr>
          <w:sz w:val="24"/>
          <w:szCs w:val="24"/>
          <w:lang w:val="en-GB"/>
        </w:rPr>
        <w:t>fallback clause</w:t>
      </w:r>
      <w:r w:rsidR="005B0E18">
        <w:rPr>
          <w:sz w:val="24"/>
          <w:szCs w:val="24"/>
          <w:lang w:val="en-GB"/>
        </w:rPr>
        <w:t>’</w:t>
      </w:r>
      <w:r w:rsidR="00954615" w:rsidRPr="00954615">
        <w:rPr>
          <w:sz w:val="24"/>
          <w:szCs w:val="24"/>
          <w:lang w:val="en-GB"/>
        </w:rPr>
        <w:t xml:space="preserve"> is likely to have even more far-reaching consequences. Should the BGH </w:t>
      </w:r>
      <w:r w:rsidR="00E94AE9">
        <w:rPr>
          <w:sz w:val="24"/>
          <w:szCs w:val="24"/>
          <w:lang w:val="en-GB"/>
        </w:rPr>
        <w:t xml:space="preserve">upheld the Cologne Court of Appeal decision and </w:t>
      </w:r>
      <w:r w:rsidR="00954615" w:rsidRPr="00954615">
        <w:rPr>
          <w:sz w:val="24"/>
          <w:szCs w:val="24"/>
          <w:lang w:val="en-GB"/>
        </w:rPr>
        <w:t>confirm the invalidity of the</w:t>
      </w:r>
      <w:r w:rsidR="005B0E18">
        <w:rPr>
          <w:sz w:val="24"/>
          <w:szCs w:val="24"/>
          <w:lang w:val="en-GB"/>
        </w:rPr>
        <w:t>se</w:t>
      </w:r>
      <w:r w:rsidR="00954615" w:rsidRPr="00954615">
        <w:rPr>
          <w:sz w:val="24"/>
          <w:szCs w:val="24"/>
          <w:lang w:val="en-GB"/>
        </w:rPr>
        <w:t xml:space="preserve"> clauses</w:t>
      </w:r>
      <w:r w:rsidR="00954615">
        <w:rPr>
          <w:sz w:val="24"/>
          <w:szCs w:val="24"/>
          <w:lang w:val="en-GB"/>
        </w:rPr>
        <w:t xml:space="preserve"> </w:t>
      </w:r>
      <w:r w:rsidR="00954615">
        <w:rPr>
          <w:sz w:val="24"/>
          <w:szCs w:val="24"/>
          <w:lang w:val="en-US"/>
        </w:rPr>
        <w:t>(the decision on the appeal is to be expected not before early 2028)</w:t>
      </w:r>
      <w:r w:rsidR="00954615" w:rsidRPr="00954615">
        <w:rPr>
          <w:sz w:val="24"/>
          <w:szCs w:val="24"/>
          <w:lang w:val="en-GB"/>
        </w:rPr>
        <w:t>, this is likely to spell the end of the D&amp;O insurance taken out by the company on account of its executive and supervisory board members.</w:t>
      </w:r>
    </w:p>
    <w:p w14:paraId="417503E1" w14:textId="783AABA3" w:rsidR="002027BC" w:rsidRDefault="00EE4DE5" w:rsidP="00954615">
      <w:pPr>
        <w:tabs>
          <w:tab w:val="left" w:pos="426"/>
        </w:tabs>
        <w:rPr>
          <w:sz w:val="24"/>
          <w:szCs w:val="24"/>
          <w:lang w:val="en-GB"/>
        </w:rPr>
      </w:pPr>
      <w:r w:rsidRPr="00EE4DE5">
        <w:rPr>
          <w:sz w:val="24"/>
          <w:szCs w:val="24"/>
          <w:lang w:val="en-GB"/>
        </w:rPr>
        <w:t xml:space="preserve">As insurers are unable to provide the level of cover required for the company for each member of the </w:t>
      </w:r>
      <w:r>
        <w:rPr>
          <w:sz w:val="24"/>
          <w:szCs w:val="24"/>
          <w:lang w:val="en-GB"/>
        </w:rPr>
        <w:t>e</w:t>
      </w:r>
      <w:r w:rsidRPr="00EE4DE5">
        <w:rPr>
          <w:sz w:val="24"/>
          <w:szCs w:val="24"/>
          <w:lang w:val="en-GB"/>
        </w:rPr>
        <w:t xml:space="preserve">xecutive </w:t>
      </w:r>
      <w:r>
        <w:rPr>
          <w:sz w:val="24"/>
          <w:szCs w:val="24"/>
          <w:lang w:val="en-GB"/>
        </w:rPr>
        <w:t>and supervisory b</w:t>
      </w:r>
      <w:r w:rsidRPr="00EE4DE5">
        <w:rPr>
          <w:sz w:val="24"/>
          <w:szCs w:val="24"/>
          <w:lang w:val="en-GB"/>
        </w:rPr>
        <w:t xml:space="preserve">oard, taking out </w:t>
      </w:r>
      <w:r w:rsidR="004E0CA5">
        <w:rPr>
          <w:sz w:val="24"/>
          <w:szCs w:val="24"/>
          <w:lang w:val="en-GB"/>
        </w:rPr>
        <w:t xml:space="preserve">(stand-alone) </w:t>
      </w:r>
      <w:r w:rsidRPr="00EE4DE5">
        <w:rPr>
          <w:sz w:val="24"/>
          <w:szCs w:val="24"/>
          <w:lang w:val="en-GB"/>
        </w:rPr>
        <w:t xml:space="preserve">personal D&amp;O insurance is not a viable option for the </w:t>
      </w:r>
      <w:r>
        <w:rPr>
          <w:sz w:val="24"/>
          <w:szCs w:val="24"/>
          <w:lang w:val="en-GB"/>
        </w:rPr>
        <w:t xml:space="preserve">board </w:t>
      </w:r>
      <w:r w:rsidRPr="00EE4DE5">
        <w:rPr>
          <w:sz w:val="24"/>
          <w:szCs w:val="24"/>
          <w:lang w:val="en-GB"/>
        </w:rPr>
        <w:t>members.</w:t>
      </w:r>
      <w:r w:rsidR="007F28D0" w:rsidRPr="00036671">
        <w:rPr>
          <w:vertAlign w:val="superscript"/>
          <w:lang w:val="en-GB"/>
        </w:rPr>
        <w:footnoteReference w:id="47"/>
      </w:r>
      <w:r w:rsidR="00607D9A" w:rsidRPr="00607D9A">
        <w:rPr>
          <w:sz w:val="24"/>
          <w:szCs w:val="24"/>
          <w:lang w:val="en-GB"/>
        </w:rPr>
        <w:t xml:space="preserve"> Separate policies for the members of the executive and supervisory board do not solve the problem if the company takes out the insurance </w:t>
      </w:r>
      <w:r w:rsidR="006853EA">
        <w:rPr>
          <w:sz w:val="24"/>
          <w:szCs w:val="24"/>
          <w:lang w:val="en-GB"/>
        </w:rPr>
        <w:t>policies, as any</w:t>
      </w:r>
      <w:r w:rsidR="00607D9A" w:rsidRPr="00607D9A">
        <w:rPr>
          <w:sz w:val="24"/>
          <w:szCs w:val="24"/>
          <w:lang w:val="en-GB"/>
        </w:rPr>
        <w:t xml:space="preserve"> misrepresentation by one </w:t>
      </w:r>
      <w:r>
        <w:rPr>
          <w:sz w:val="24"/>
          <w:szCs w:val="24"/>
          <w:lang w:val="en-GB"/>
        </w:rPr>
        <w:t>executive</w:t>
      </w:r>
      <w:r w:rsidR="00607D9A" w:rsidRPr="00607D9A">
        <w:rPr>
          <w:sz w:val="24"/>
          <w:szCs w:val="24"/>
          <w:lang w:val="en-GB"/>
        </w:rPr>
        <w:t xml:space="preserve"> is </w:t>
      </w:r>
      <w:r>
        <w:rPr>
          <w:sz w:val="24"/>
          <w:szCs w:val="24"/>
          <w:lang w:val="en-GB"/>
        </w:rPr>
        <w:t>imputed</w:t>
      </w:r>
      <w:r w:rsidR="00607D9A" w:rsidRPr="00607D9A">
        <w:rPr>
          <w:sz w:val="24"/>
          <w:szCs w:val="24"/>
          <w:lang w:val="en-GB"/>
        </w:rPr>
        <w:t xml:space="preserve"> to the company.</w:t>
      </w:r>
      <w:r w:rsidR="007F28D0" w:rsidRPr="00036671">
        <w:rPr>
          <w:vertAlign w:val="superscript"/>
          <w:lang w:val="en-GB"/>
        </w:rPr>
        <w:footnoteReference w:id="48"/>
      </w:r>
      <w:r w:rsidR="00607D9A" w:rsidRPr="00607D9A">
        <w:rPr>
          <w:sz w:val="24"/>
          <w:szCs w:val="24"/>
          <w:lang w:val="en-GB"/>
        </w:rPr>
        <w:t xml:space="preserve"> </w:t>
      </w:r>
      <w:r w:rsidR="00407BF3">
        <w:rPr>
          <w:sz w:val="24"/>
          <w:szCs w:val="24"/>
          <w:lang w:val="en-GB"/>
        </w:rPr>
        <w:t>C</w:t>
      </w:r>
      <w:r w:rsidR="00407BF3" w:rsidRPr="00407BF3">
        <w:rPr>
          <w:sz w:val="24"/>
          <w:szCs w:val="24"/>
          <w:lang w:val="en-GB"/>
        </w:rPr>
        <w:t xml:space="preserve">lauses in the service contracts with members of the </w:t>
      </w:r>
      <w:r w:rsidR="004E0CA5">
        <w:rPr>
          <w:sz w:val="24"/>
          <w:szCs w:val="24"/>
          <w:lang w:val="en-GB"/>
        </w:rPr>
        <w:t xml:space="preserve">executive </w:t>
      </w:r>
      <w:r w:rsidR="00407BF3" w:rsidRPr="00407BF3">
        <w:rPr>
          <w:sz w:val="24"/>
          <w:szCs w:val="24"/>
          <w:lang w:val="en-GB"/>
        </w:rPr>
        <w:t xml:space="preserve">and the </w:t>
      </w:r>
      <w:r>
        <w:rPr>
          <w:sz w:val="24"/>
          <w:szCs w:val="24"/>
          <w:lang w:val="en-GB"/>
        </w:rPr>
        <w:t>s</w:t>
      </w:r>
      <w:r w:rsidR="00407BF3" w:rsidRPr="00407BF3">
        <w:rPr>
          <w:sz w:val="24"/>
          <w:szCs w:val="24"/>
          <w:lang w:val="en-GB"/>
        </w:rPr>
        <w:t xml:space="preserve">upervisory </w:t>
      </w:r>
      <w:r>
        <w:rPr>
          <w:sz w:val="24"/>
          <w:szCs w:val="24"/>
          <w:lang w:val="en-GB"/>
        </w:rPr>
        <w:t>b</w:t>
      </w:r>
      <w:r w:rsidR="00407BF3" w:rsidRPr="00407BF3">
        <w:rPr>
          <w:sz w:val="24"/>
          <w:szCs w:val="24"/>
          <w:lang w:val="en-GB"/>
        </w:rPr>
        <w:t xml:space="preserve">oard, which provide that the company shall not assert any claims against them if they did not make the misrepresentation and had no knowledge of it, </w:t>
      </w:r>
      <w:r w:rsidR="00407BF3">
        <w:rPr>
          <w:sz w:val="24"/>
          <w:szCs w:val="24"/>
          <w:lang w:val="en-GB"/>
        </w:rPr>
        <w:t xml:space="preserve">are also no solution. First, it is questionable if they </w:t>
      </w:r>
      <w:r w:rsidR="00407BF3" w:rsidRPr="00407BF3">
        <w:rPr>
          <w:sz w:val="24"/>
          <w:szCs w:val="24"/>
          <w:lang w:val="en-GB"/>
        </w:rPr>
        <w:t xml:space="preserve">are legally permissible for </w:t>
      </w:r>
      <w:r w:rsidR="00407BF3">
        <w:rPr>
          <w:sz w:val="24"/>
          <w:szCs w:val="24"/>
          <w:lang w:val="en-GB"/>
        </w:rPr>
        <w:t>stock corporations</w:t>
      </w:r>
      <w:r w:rsidR="00407BF3" w:rsidRPr="00407BF3">
        <w:rPr>
          <w:sz w:val="24"/>
          <w:szCs w:val="24"/>
          <w:lang w:val="en-GB"/>
        </w:rPr>
        <w:t xml:space="preserve">. </w:t>
      </w:r>
      <w:r w:rsidR="00A231A7" w:rsidRPr="00A231A7">
        <w:rPr>
          <w:sz w:val="24"/>
          <w:szCs w:val="24"/>
          <w:lang w:val="en-GB"/>
        </w:rPr>
        <w:t>Secondly, the company would run the risk of not being compensated for the damage incurred, even though it has paid the premiums</w:t>
      </w:r>
      <w:r w:rsidR="00407BF3" w:rsidRPr="00407BF3">
        <w:rPr>
          <w:sz w:val="24"/>
          <w:szCs w:val="24"/>
          <w:lang w:val="en-GB"/>
        </w:rPr>
        <w:t>.</w:t>
      </w:r>
    </w:p>
    <w:p w14:paraId="6F96A5CC" w14:textId="45CA840C" w:rsidR="00825EFD" w:rsidRPr="00AA7C7F" w:rsidRDefault="00407BF3" w:rsidP="00954615">
      <w:pPr>
        <w:tabs>
          <w:tab w:val="left" w:pos="426"/>
        </w:tabs>
        <w:rPr>
          <w:sz w:val="24"/>
          <w:szCs w:val="24"/>
          <w:lang w:val="en-GB"/>
        </w:rPr>
      </w:pPr>
      <w:r w:rsidRPr="00407BF3">
        <w:rPr>
          <w:sz w:val="24"/>
          <w:szCs w:val="24"/>
          <w:lang w:val="en-GB"/>
        </w:rPr>
        <w:t xml:space="preserve">A viable alternative, however, could be to find a third party </w:t>
      </w:r>
      <w:r w:rsidR="00A231A7">
        <w:rPr>
          <w:sz w:val="24"/>
          <w:szCs w:val="24"/>
          <w:lang w:val="en-GB"/>
        </w:rPr>
        <w:t xml:space="preserve">as service provider </w:t>
      </w:r>
      <w:r w:rsidRPr="00407BF3">
        <w:rPr>
          <w:sz w:val="24"/>
          <w:szCs w:val="24"/>
          <w:lang w:val="en-GB"/>
        </w:rPr>
        <w:t>(e.g. an independent – perhaps – in</w:t>
      </w:r>
      <w:r w:rsidR="00C61917">
        <w:rPr>
          <w:sz w:val="24"/>
          <w:szCs w:val="24"/>
          <w:lang w:val="en-GB"/>
        </w:rPr>
        <w:t>house insurance</w:t>
      </w:r>
      <w:r w:rsidRPr="00407BF3">
        <w:rPr>
          <w:sz w:val="24"/>
          <w:szCs w:val="24"/>
          <w:lang w:val="en-GB"/>
        </w:rPr>
        <w:t xml:space="preserve"> broker) who takes out </w:t>
      </w:r>
      <w:r w:rsidR="00C61917">
        <w:rPr>
          <w:sz w:val="24"/>
          <w:szCs w:val="24"/>
          <w:lang w:val="en-GB"/>
        </w:rPr>
        <w:t xml:space="preserve">(group) </w:t>
      </w:r>
      <w:r w:rsidRPr="00407BF3">
        <w:rPr>
          <w:sz w:val="24"/>
          <w:szCs w:val="24"/>
          <w:lang w:val="en-GB"/>
        </w:rPr>
        <w:t xml:space="preserve">insurance </w:t>
      </w:r>
      <w:r w:rsidR="00A77E43">
        <w:rPr>
          <w:sz w:val="24"/>
          <w:szCs w:val="24"/>
          <w:lang w:val="en-GB"/>
        </w:rPr>
        <w:t>o</w:t>
      </w:r>
      <w:r>
        <w:rPr>
          <w:sz w:val="24"/>
          <w:szCs w:val="24"/>
          <w:lang w:val="en-GB"/>
        </w:rPr>
        <w:t xml:space="preserve">n account </w:t>
      </w:r>
      <w:r w:rsidRPr="00407BF3">
        <w:rPr>
          <w:sz w:val="24"/>
          <w:szCs w:val="24"/>
          <w:lang w:val="en-GB"/>
        </w:rPr>
        <w:t xml:space="preserve">of the members of the </w:t>
      </w:r>
      <w:r w:rsidR="00A231A7">
        <w:rPr>
          <w:sz w:val="24"/>
          <w:szCs w:val="24"/>
          <w:lang w:val="en-GB"/>
        </w:rPr>
        <w:t>m</w:t>
      </w:r>
      <w:r w:rsidRPr="00407BF3">
        <w:rPr>
          <w:sz w:val="24"/>
          <w:szCs w:val="24"/>
          <w:lang w:val="en-GB"/>
        </w:rPr>
        <w:t xml:space="preserve">anagement and the </w:t>
      </w:r>
      <w:r w:rsidR="00A231A7">
        <w:rPr>
          <w:sz w:val="24"/>
          <w:szCs w:val="24"/>
          <w:lang w:val="en-GB"/>
        </w:rPr>
        <w:t>s</w:t>
      </w:r>
      <w:r w:rsidRPr="00407BF3">
        <w:rPr>
          <w:sz w:val="24"/>
          <w:szCs w:val="24"/>
          <w:lang w:val="en-GB"/>
        </w:rPr>
        <w:t>upervisory</w:t>
      </w:r>
      <w:r w:rsidR="00A231A7">
        <w:rPr>
          <w:sz w:val="24"/>
          <w:szCs w:val="24"/>
          <w:lang w:val="en-GB"/>
        </w:rPr>
        <w:t xml:space="preserve"> b</w:t>
      </w:r>
      <w:r w:rsidRPr="00407BF3">
        <w:rPr>
          <w:sz w:val="24"/>
          <w:szCs w:val="24"/>
          <w:lang w:val="en-GB"/>
        </w:rPr>
        <w:t xml:space="preserve">oard </w:t>
      </w:r>
      <w:r w:rsidR="00A231A7">
        <w:rPr>
          <w:sz w:val="24"/>
          <w:szCs w:val="24"/>
          <w:lang w:val="en-GB"/>
        </w:rPr>
        <w:t xml:space="preserve">as well as officers </w:t>
      </w:r>
      <w:r w:rsidRPr="00407BF3">
        <w:rPr>
          <w:sz w:val="24"/>
          <w:szCs w:val="24"/>
          <w:lang w:val="en-GB"/>
        </w:rPr>
        <w:t>(</w:t>
      </w:r>
      <w:r w:rsidR="00A231A7">
        <w:rPr>
          <w:sz w:val="24"/>
          <w:szCs w:val="24"/>
          <w:lang w:val="en-GB"/>
        </w:rPr>
        <w:t>‘</w:t>
      </w:r>
      <w:r>
        <w:rPr>
          <w:sz w:val="24"/>
          <w:szCs w:val="24"/>
          <w:lang w:val="en-GB"/>
        </w:rPr>
        <w:t xml:space="preserve">Side </w:t>
      </w:r>
      <w:r w:rsidRPr="00407BF3">
        <w:rPr>
          <w:sz w:val="24"/>
          <w:szCs w:val="24"/>
          <w:lang w:val="en-GB"/>
        </w:rPr>
        <w:t>A</w:t>
      </w:r>
      <w:r w:rsidR="00A231A7">
        <w:rPr>
          <w:sz w:val="24"/>
          <w:szCs w:val="24"/>
          <w:lang w:val="en-GB"/>
        </w:rPr>
        <w:t>’</w:t>
      </w:r>
      <w:r>
        <w:rPr>
          <w:sz w:val="24"/>
          <w:szCs w:val="24"/>
          <w:lang w:val="en-GB"/>
        </w:rPr>
        <w:t xml:space="preserve"> cover</w:t>
      </w:r>
      <w:r w:rsidRPr="00407BF3">
        <w:rPr>
          <w:sz w:val="24"/>
          <w:szCs w:val="24"/>
          <w:lang w:val="en-GB"/>
        </w:rPr>
        <w:t xml:space="preserve">) and possibly </w:t>
      </w:r>
      <w:r>
        <w:rPr>
          <w:sz w:val="24"/>
          <w:szCs w:val="24"/>
          <w:lang w:val="en-GB"/>
        </w:rPr>
        <w:t xml:space="preserve">on account </w:t>
      </w:r>
      <w:r w:rsidRPr="00407BF3">
        <w:rPr>
          <w:sz w:val="24"/>
          <w:szCs w:val="24"/>
          <w:lang w:val="en-GB"/>
        </w:rPr>
        <w:t>of the company (</w:t>
      </w:r>
      <w:r w:rsidR="00A231A7">
        <w:rPr>
          <w:sz w:val="24"/>
          <w:szCs w:val="24"/>
          <w:lang w:val="en-GB"/>
        </w:rPr>
        <w:t>‘</w:t>
      </w:r>
      <w:r>
        <w:rPr>
          <w:sz w:val="24"/>
          <w:szCs w:val="24"/>
          <w:lang w:val="en-GB"/>
        </w:rPr>
        <w:t xml:space="preserve">Side </w:t>
      </w:r>
      <w:r w:rsidRPr="00407BF3">
        <w:rPr>
          <w:sz w:val="24"/>
          <w:szCs w:val="24"/>
          <w:lang w:val="en-GB"/>
        </w:rPr>
        <w:t>B</w:t>
      </w:r>
      <w:r w:rsidR="00A231A7">
        <w:rPr>
          <w:sz w:val="24"/>
          <w:szCs w:val="24"/>
          <w:lang w:val="en-GB"/>
        </w:rPr>
        <w:t>’</w:t>
      </w:r>
      <w:r w:rsidRPr="00407BF3">
        <w:rPr>
          <w:sz w:val="24"/>
          <w:szCs w:val="24"/>
          <w:lang w:val="en-GB"/>
        </w:rPr>
        <w:t xml:space="preserve"> and </w:t>
      </w:r>
      <w:r w:rsidR="00A231A7">
        <w:rPr>
          <w:sz w:val="24"/>
          <w:szCs w:val="24"/>
          <w:lang w:val="en-GB"/>
        </w:rPr>
        <w:t>‘</w:t>
      </w:r>
      <w:r>
        <w:rPr>
          <w:sz w:val="24"/>
          <w:szCs w:val="24"/>
          <w:lang w:val="en-GB"/>
        </w:rPr>
        <w:t xml:space="preserve">Side </w:t>
      </w:r>
      <w:r w:rsidRPr="00407BF3">
        <w:rPr>
          <w:sz w:val="24"/>
          <w:szCs w:val="24"/>
          <w:lang w:val="en-GB"/>
        </w:rPr>
        <w:t>C</w:t>
      </w:r>
      <w:r w:rsidR="00A231A7">
        <w:rPr>
          <w:sz w:val="24"/>
          <w:szCs w:val="24"/>
          <w:lang w:val="en-GB"/>
        </w:rPr>
        <w:t>’</w:t>
      </w:r>
      <w:r>
        <w:rPr>
          <w:sz w:val="24"/>
          <w:szCs w:val="24"/>
          <w:lang w:val="en-GB"/>
        </w:rPr>
        <w:t xml:space="preserve"> cover</w:t>
      </w:r>
      <w:r w:rsidRPr="00407BF3">
        <w:rPr>
          <w:sz w:val="24"/>
          <w:szCs w:val="24"/>
          <w:lang w:val="en-GB"/>
        </w:rPr>
        <w:t>)</w:t>
      </w:r>
      <w:r w:rsidR="00A231A7">
        <w:rPr>
          <w:sz w:val="24"/>
          <w:szCs w:val="24"/>
          <w:lang w:val="en-GB"/>
        </w:rPr>
        <w:t xml:space="preserve">. In this </w:t>
      </w:r>
      <w:r w:rsidR="002027BC">
        <w:rPr>
          <w:sz w:val="24"/>
          <w:szCs w:val="24"/>
          <w:lang w:val="en-GB"/>
        </w:rPr>
        <w:t>scenario,</w:t>
      </w:r>
      <w:r w:rsidR="00A231A7">
        <w:rPr>
          <w:sz w:val="24"/>
          <w:szCs w:val="24"/>
          <w:lang w:val="en-GB"/>
        </w:rPr>
        <w:t xml:space="preserve"> the D&amp;O insurance </w:t>
      </w:r>
      <w:r w:rsidR="00A231A7" w:rsidRPr="00A231A7">
        <w:rPr>
          <w:sz w:val="24"/>
          <w:szCs w:val="24"/>
          <w:lang w:val="en-GB"/>
        </w:rPr>
        <w:t>would be purely third-party insurance.</w:t>
      </w:r>
      <w:r w:rsidR="007F28D0" w:rsidRPr="00036671">
        <w:rPr>
          <w:vertAlign w:val="superscript"/>
          <w:lang w:val="en-GB"/>
        </w:rPr>
        <w:footnoteReference w:id="49"/>
      </w:r>
    </w:p>
    <w:sectPr w:rsidR="00825EFD" w:rsidRPr="00AA7C7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F558" w14:textId="77777777" w:rsidR="00D006CC" w:rsidRDefault="00D006CC" w:rsidP="00CC7CDB">
      <w:pPr>
        <w:spacing w:after="0" w:line="240" w:lineRule="auto"/>
      </w:pPr>
      <w:r>
        <w:separator/>
      </w:r>
    </w:p>
  </w:endnote>
  <w:endnote w:type="continuationSeparator" w:id="0">
    <w:p w14:paraId="47E2A359" w14:textId="77777777" w:rsidR="00D006CC" w:rsidRDefault="00D006CC" w:rsidP="00CC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94333"/>
      <w:docPartObj>
        <w:docPartGallery w:val="Page Numbers (Bottom of Page)"/>
        <w:docPartUnique/>
      </w:docPartObj>
    </w:sdtPr>
    <w:sdtEndPr/>
    <w:sdtContent>
      <w:p w14:paraId="2F4E6A87" w14:textId="54C487EE" w:rsidR="00CC7CDB" w:rsidRDefault="00CC7CDB">
        <w:pPr>
          <w:pStyle w:val="Piedepgina"/>
        </w:pPr>
        <w:r>
          <w:fldChar w:fldCharType="begin"/>
        </w:r>
        <w:r>
          <w:instrText>PAGE   \* MERGEFORMAT</w:instrText>
        </w:r>
        <w:r>
          <w:fldChar w:fldCharType="separate"/>
        </w:r>
        <w:r w:rsidR="004B6208">
          <w:rPr>
            <w:noProof/>
          </w:rPr>
          <w:t>1</w:t>
        </w:r>
        <w:r>
          <w:fldChar w:fldCharType="end"/>
        </w:r>
      </w:p>
    </w:sdtContent>
  </w:sdt>
  <w:p w14:paraId="1754A9AB" w14:textId="77777777" w:rsidR="00CC7CDB" w:rsidRDefault="00CC7C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D623" w14:textId="77777777" w:rsidR="00D006CC" w:rsidRDefault="00D006CC" w:rsidP="00CC7CDB">
      <w:pPr>
        <w:spacing w:after="0" w:line="240" w:lineRule="auto"/>
      </w:pPr>
      <w:r>
        <w:separator/>
      </w:r>
    </w:p>
  </w:footnote>
  <w:footnote w:type="continuationSeparator" w:id="0">
    <w:p w14:paraId="4405E4E5" w14:textId="77777777" w:rsidR="00D006CC" w:rsidRDefault="00D006CC" w:rsidP="00CC7CDB">
      <w:pPr>
        <w:spacing w:after="0" w:line="240" w:lineRule="auto"/>
      </w:pPr>
      <w:r>
        <w:continuationSeparator/>
      </w:r>
    </w:p>
  </w:footnote>
  <w:footnote w:id="1">
    <w:p w14:paraId="5BE2DAEA" w14:textId="4CFF6A84" w:rsidR="00E6718C" w:rsidRPr="00F16AC5" w:rsidRDefault="00E6718C" w:rsidP="00E6718C">
      <w:pPr>
        <w:pStyle w:val="Footnote"/>
        <w:rPr>
          <w:rFonts w:ascii="Calibri" w:hAnsi="Calibri" w:cs="Calibri"/>
          <w:sz w:val="22"/>
          <w:szCs w:val="22"/>
        </w:rPr>
      </w:pPr>
      <w:r>
        <w:rPr>
          <w:rFonts w:ascii="Calibri" w:hAnsi="Calibri" w:cs="Calibri"/>
          <w:sz w:val="22"/>
          <w:szCs w:val="22"/>
        </w:rPr>
        <w:t>*</w:t>
      </w:r>
      <w:r w:rsidRPr="00E6718C">
        <w:rPr>
          <w:rFonts w:ascii="Calibri" w:hAnsi="Calibri" w:cs="Calibri"/>
          <w:sz w:val="22"/>
          <w:szCs w:val="22"/>
        </w:rPr>
        <w:t>Dr Robert Koch is a Professor at the University of Hamburg</w:t>
      </w:r>
      <w:r w:rsidR="00A57376">
        <w:rPr>
          <w:rFonts w:ascii="Calibri" w:hAnsi="Calibri" w:cs="Calibri"/>
          <w:sz w:val="22"/>
          <w:szCs w:val="22"/>
        </w:rPr>
        <w:t xml:space="preserve"> (Germany)</w:t>
      </w:r>
      <w:r w:rsidRPr="00E6718C">
        <w:rPr>
          <w:rFonts w:ascii="Calibri" w:hAnsi="Calibri" w:cs="Calibri"/>
          <w:sz w:val="22"/>
          <w:szCs w:val="22"/>
        </w:rPr>
        <w:t>. He holds the chair of Private Law and Insurance Law</w:t>
      </w:r>
      <w:r w:rsidR="00F16AC5">
        <w:rPr>
          <w:rFonts w:ascii="Calibri" w:hAnsi="Calibri" w:cs="Calibri"/>
          <w:sz w:val="22"/>
          <w:szCs w:val="22"/>
        </w:rPr>
        <w:t xml:space="preserve">, </w:t>
      </w:r>
      <w:r w:rsidRPr="00E6718C">
        <w:rPr>
          <w:rFonts w:ascii="Calibri" w:hAnsi="Calibri" w:cs="Calibri"/>
          <w:sz w:val="22"/>
          <w:szCs w:val="22"/>
        </w:rPr>
        <w:t xml:space="preserve">is the director of the Institute of Insurance Law </w:t>
      </w:r>
      <w:r w:rsidR="00A57376">
        <w:rPr>
          <w:rFonts w:ascii="Calibri" w:hAnsi="Calibri" w:cs="Calibri"/>
          <w:sz w:val="22"/>
          <w:szCs w:val="22"/>
        </w:rPr>
        <w:t xml:space="preserve">(est. 1916) </w:t>
      </w:r>
      <w:r w:rsidRPr="00E6718C">
        <w:rPr>
          <w:rFonts w:ascii="Calibri" w:hAnsi="Calibri" w:cs="Calibri"/>
          <w:sz w:val="22"/>
          <w:szCs w:val="22"/>
        </w:rPr>
        <w:t>and the LLM</w:t>
      </w:r>
      <w:r w:rsidR="009C5888">
        <w:rPr>
          <w:rFonts w:ascii="Calibri" w:hAnsi="Calibri" w:cs="Calibri"/>
          <w:sz w:val="22"/>
          <w:szCs w:val="22"/>
        </w:rPr>
        <w:t xml:space="preserve"> </w:t>
      </w:r>
      <w:r w:rsidRPr="00E6718C">
        <w:rPr>
          <w:rFonts w:ascii="Calibri" w:hAnsi="Calibri" w:cs="Calibri"/>
          <w:sz w:val="22"/>
          <w:szCs w:val="22"/>
        </w:rPr>
        <w:t xml:space="preserve">programme on </w:t>
      </w:r>
      <w:r w:rsidR="009C5888">
        <w:rPr>
          <w:rFonts w:ascii="Calibri" w:hAnsi="Calibri" w:cs="Calibri"/>
          <w:sz w:val="22"/>
          <w:szCs w:val="22"/>
        </w:rPr>
        <w:t>I</w:t>
      </w:r>
      <w:r w:rsidRPr="00E6718C">
        <w:rPr>
          <w:rFonts w:ascii="Calibri" w:hAnsi="Calibri" w:cs="Calibri"/>
          <w:sz w:val="22"/>
          <w:szCs w:val="22"/>
        </w:rPr>
        <w:t xml:space="preserve">nsurance </w:t>
      </w:r>
      <w:r w:rsidR="009C5888">
        <w:rPr>
          <w:rFonts w:ascii="Calibri" w:hAnsi="Calibri" w:cs="Calibri"/>
          <w:sz w:val="22"/>
          <w:szCs w:val="22"/>
        </w:rPr>
        <w:t>L</w:t>
      </w:r>
      <w:r w:rsidRPr="00E6718C">
        <w:rPr>
          <w:rFonts w:ascii="Calibri" w:hAnsi="Calibri" w:cs="Calibri"/>
          <w:sz w:val="22"/>
          <w:szCs w:val="22"/>
        </w:rPr>
        <w:t xml:space="preserve">aw. He is the chairman of the Working Party on </w:t>
      </w:r>
      <w:r w:rsidR="00CA3175">
        <w:rPr>
          <w:rFonts w:ascii="Calibri" w:hAnsi="Calibri" w:cs="Calibri"/>
          <w:sz w:val="22"/>
          <w:szCs w:val="22"/>
        </w:rPr>
        <w:t>‘</w:t>
      </w:r>
      <w:r w:rsidRPr="00E6718C">
        <w:rPr>
          <w:rFonts w:ascii="Calibri" w:hAnsi="Calibri" w:cs="Calibri"/>
          <w:sz w:val="22"/>
          <w:szCs w:val="22"/>
        </w:rPr>
        <w:t>Financial Lines &amp; Cyber</w:t>
      </w:r>
      <w:r w:rsidR="00CA3175">
        <w:rPr>
          <w:rFonts w:ascii="Calibri" w:hAnsi="Calibri" w:cs="Calibri"/>
          <w:sz w:val="22"/>
          <w:szCs w:val="22"/>
        </w:rPr>
        <w:t>’</w:t>
      </w:r>
      <w:r w:rsidR="00F16AC5">
        <w:rPr>
          <w:rFonts w:ascii="Calibri" w:hAnsi="Calibri" w:cs="Calibri"/>
          <w:sz w:val="22"/>
          <w:szCs w:val="22"/>
        </w:rPr>
        <w:t xml:space="preserve"> of the </w:t>
      </w:r>
      <w:r w:rsidR="00F16AC5" w:rsidRPr="00E6718C">
        <w:rPr>
          <w:rFonts w:ascii="Calibri" w:hAnsi="Calibri" w:cs="Calibri"/>
          <w:sz w:val="22"/>
          <w:szCs w:val="22"/>
        </w:rPr>
        <w:t>International Insurance Law Association</w:t>
      </w:r>
      <w:r w:rsidR="00F16AC5">
        <w:rPr>
          <w:rFonts w:ascii="Calibri" w:hAnsi="Calibri" w:cs="Calibri"/>
          <w:sz w:val="22"/>
          <w:szCs w:val="22"/>
        </w:rPr>
        <w:t xml:space="preserve"> (AIDA)</w:t>
      </w:r>
      <w:r w:rsidRPr="00E6718C">
        <w:rPr>
          <w:rFonts w:ascii="Calibri" w:hAnsi="Calibri" w:cs="Calibri"/>
          <w:sz w:val="22"/>
          <w:szCs w:val="22"/>
        </w:rPr>
        <w:t>.</w:t>
      </w:r>
      <w:r w:rsidR="00F16AC5">
        <w:rPr>
          <w:rFonts w:ascii="Calibri" w:hAnsi="Calibri" w:cs="Calibri"/>
          <w:sz w:val="22"/>
          <w:szCs w:val="22"/>
        </w:rPr>
        <w:t xml:space="preserve"> </w:t>
      </w:r>
      <w:r w:rsidR="00F16AC5" w:rsidRPr="00F16AC5">
        <w:rPr>
          <w:rFonts w:ascii="Calibri" w:hAnsi="Calibri" w:cs="Calibri"/>
          <w:sz w:val="22"/>
          <w:szCs w:val="22"/>
        </w:rPr>
        <w:t xml:space="preserve">This </w:t>
      </w:r>
      <w:r w:rsidR="00F16AC5">
        <w:rPr>
          <w:rFonts w:ascii="Calibri" w:hAnsi="Calibri" w:cs="Calibri"/>
          <w:sz w:val="22"/>
          <w:szCs w:val="22"/>
        </w:rPr>
        <w:t>paper</w:t>
      </w:r>
      <w:r w:rsidR="00F16AC5" w:rsidRPr="00F16AC5">
        <w:rPr>
          <w:rFonts w:ascii="Calibri" w:hAnsi="Calibri" w:cs="Calibri"/>
          <w:sz w:val="22"/>
          <w:szCs w:val="22"/>
        </w:rPr>
        <w:t xml:space="preserve"> is based on a presentation given by the author at the meeting of the AIDA Working </w:t>
      </w:r>
      <w:r w:rsidR="00F16AC5">
        <w:rPr>
          <w:rFonts w:ascii="Calibri" w:hAnsi="Calibri" w:cs="Calibri"/>
          <w:sz w:val="22"/>
          <w:szCs w:val="22"/>
        </w:rPr>
        <w:t>Party</w:t>
      </w:r>
      <w:r w:rsidR="00F16AC5" w:rsidRPr="00F16AC5">
        <w:rPr>
          <w:rFonts w:ascii="Calibri" w:hAnsi="Calibri" w:cs="Calibri"/>
          <w:sz w:val="22"/>
          <w:szCs w:val="22"/>
        </w:rPr>
        <w:t xml:space="preserve"> on </w:t>
      </w:r>
      <w:r w:rsidR="00CA3175">
        <w:rPr>
          <w:rFonts w:ascii="Calibri" w:hAnsi="Calibri" w:cs="Calibri"/>
          <w:sz w:val="22"/>
          <w:szCs w:val="22"/>
        </w:rPr>
        <w:t>‘</w:t>
      </w:r>
      <w:r w:rsidR="00F16AC5" w:rsidRPr="00F16AC5">
        <w:rPr>
          <w:rFonts w:ascii="Calibri" w:hAnsi="Calibri" w:cs="Calibri"/>
          <w:sz w:val="22"/>
          <w:szCs w:val="22"/>
        </w:rPr>
        <w:t>Financial Lines &amp; Cyber</w:t>
      </w:r>
      <w:r w:rsidR="00CA3175">
        <w:rPr>
          <w:rFonts w:ascii="Calibri" w:hAnsi="Calibri" w:cs="Calibri"/>
          <w:sz w:val="22"/>
          <w:szCs w:val="22"/>
        </w:rPr>
        <w:t>’</w:t>
      </w:r>
      <w:r w:rsidR="00F16AC5" w:rsidRPr="00F16AC5">
        <w:rPr>
          <w:rFonts w:ascii="Calibri" w:hAnsi="Calibri" w:cs="Calibri"/>
          <w:sz w:val="22"/>
          <w:szCs w:val="22"/>
        </w:rPr>
        <w:t xml:space="preserve"> as part of the </w:t>
      </w:r>
      <w:r w:rsidR="00F16AC5" w:rsidRPr="00F16AC5">
        <w:rPr>
          <w:rFonts w:ascii="Calibri" w:hAnsi="Calibri" w:cs="Calibri"/>
          <w:bCs/>
          <w:sz w:val="22"/>
          <w:szCs w:val="22"/>
        </w:rPr>
        <w:t>12th AIDA Europe Conference</w:t>
      </w:r>
      <w:r w:rsidR="00F16AC5" w:rsidRPr="00F16AC5">
        <w:rPr>
          <w:rFonts w:ascii="Calibri" w:hAnsi="Calibri" w:cs="Calibri"/>
          <w:sz w:val="22"/>
          <w:szCs w:val="22"/>
        </w:rPr>
        <w:t xml:space="preserve"> on 11/12 June 2026 in Rotterdam</w:t>
      </w:r>
      <w:r w:rsidR="009C5888">
        <w:rPr>
          <w:rFonts w:ascii="Calibri" w:hAnsi="Calibri" w:cs="Calibri"/>
          <w:sz w:val="22"/>
          <w:szCs w:val="22"/>
        </w:rPr>
        <w:t xml:space="preserve"> </w:t>
      </w:r>
      <w:r w:rsidR="00AE4676">
        <w:rPr>
          <w:rFonts w:ascii="Calibri" w:hAnsi="Calibri" w:cs="Calibri"/>
          <w:sz w:val="22"/>
          <w:szCs w:val="22"/>
        </w:rPr>
        <w:t xml:space="preserve">(The Netherlands) </w:t>
      </w:r>
      <w:r w:rsidR="009C5888">
        <w:rPr>
          <w:rFonts w:ascii="Calibri" w:hAnsi="Calibri" w:cs="Calibri"/>
          <w:sz w:val="22"/>
          <w:szCs w:val="22"/>
        </w:rPr>
        <w:t>and the 19th Con</w:t>
      </w:r>
      <w:r w:rsidR="00AE4676">
        <w:rPr>
          <w:rFonts w:ascii="Calibri" w:hAnsi="Calibri" w:cs="Calibri"/>
          <w:sz w:val="22"/>
          <w:szCs w:val="22"/>
        </w:rPr>
        <w:t>greso CILA on 26-28 August 2026 in Cartagena (Colombia)</w:t>
      </w:r>
      <w:r w:rsidR="00F16AC5" w:rsidRPr="00F16AC5">
        <w:rPr>
          <w:rFonts w:ascii="Calibri" w:hAnsi="Calibri" w:cs="Calibri"/>
          <w:sz w:val="22"/>
          <w:szCs w:val="22"/>
        </w:rPr>
        <w:t>.</w:t>
      </w:r>
    </w:p>
    <w:p w14:paraId="5E553CED" w14:textId="04FD12A3" w:rsidR="00E6718C" w:rsidRPr="00AF3F2C" w:rsidRDefault="00E6718C" w:rsidP="00E6718C">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AF3F2C">
        <w:rPr>
          <w:rFonts w:ascii="Calibri" w:hAnsi="Calibri" w:cs="Calibri"/>
          <w:sz w:val="22"/>
          <w:szCs w:val="22"/>
          <w:lang w:val="de-DE"/>
        </w:rPr>
        <w:t xml:space="preserve"> </w:t>
      </w:r>
      <w:r w:rsidR="008D746A" w:rsidRPr="00AF3F2C">
        <w:rPr>
          <w:rFonts w:ascii="Calibri" w:hAnsi="Calibri" w:cs="Calibri"/>
          <w:sz w:val="22"/>
          <w:szCs w:val="22"/>
          <w:lang w:val="de-DE"/>
        </w:rPr>
        <w:t xml:space="preserve">BGH, 10.7.2012 – VI ZR 341/10 , </w:t>
      </w:r>
      <w:r w:rsidR="00AF3F2C" w:rsidRPr="00AF3F2C">
        <w:rPr>
          <w:rFonts w:ascii="Calibri" w:hAnsi="Calibri" w:cs="Calibri"/>
          <w:sz w:val="22"/>
          <w:szCs w:val="22"/>
          <w:lang w:val="de-DE"/>
        </w:rPr>
        <w:t xml:space="preserve">Entscheidungen des Bundesgerichtshofs in Zivilsachen </w:t>
      </w:r>
      <w:r w:rsidR="00AF3F2C">
        <w:rPr>
          <w:rFonts w:ascii="Calibri" w:hAnsi="Calibri" w:cs="Calibri"/>
          <w:sz w:val="22"/>
          <w:szCs w:val="22"/>
          <w:lang w:val="de-DE"/>
        </w:rPr>
        <w:t>(</w:t>
      </w:r>
      <w:r w:rsidR="008D746A" w:rsidRPr="00AF3F2C">
        <w:rPr>
          <w:rFonts w:ascii="Calibri" w:hAnsi="Calibri" w:cs="Calibri"/>
          <w:sz w:val="22"/>
          <w:szCs w:val="22"/>
          <w:lang w:val="de-DE"/>
        </w:rPr>
        <w:t>BGHZ</w:t>
      </w:r>
      <w:r w:rsidR="00AF3F2C">
        <w:rPr>
          <w:rFonts w:ascii="Calibri" w:hAnsi="Calibri" w:cs="Calibri"/>
          <w:sz w:val="22"/>
          <w:szCs w:val="22"/>
          <w:lang w:val="de-DE"/>
        </w:rPr>
        <w:t>)</w:t>
      </w:r>
      <w:r w:rsidR="008D746A" w:rsidRPr="00AF3F2C">
        <w:rPr>
          <w:rFonts w:ascii="Calibri" w:hAnsi="Calibri" w:cs="Calibri"/>
          <w:sz w:val="22"/>
          <w:szCs w:val="22"/>
          <w:lang w:val="de-DE"/>
        </w:rPr>
        <w:t xml:space="preserve"> 194, p. 26 n. 23; BGH, 13.4.1994 – II ZR 16/93, 125, BGHZ 125, 366, 375; BeckOGK/Fleischer, 1.2.2026, AktG § 93 Rn. 403.</w:t>
      </w:r>
    </w:p>
  </w:footnote>
  <w:footnote w:id="2">
    <w:p w14:paraId="516DB3D5" w14:textId="617DB5A7" w:rsidR="008D746A" w:rsidRPr="008D746A" w:rsidRDefault="008D746A" w:rsidP="008D746A">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8D746A">
        <w:rPr>
          <w:rFonts w:ascii="Calibri" w:hAnsi="Calibri" w:cs="Calibri"/>
          <w:sz w:val="22"/>
          <w:szCs w:val="22"/>
          <w:lang w:val="de-DE"/>
        </w:rPr>
        <w:t xml:space="preserve"> See e.g. BeckOGK/Fleischer, 1.2.2026, AktG § 93 Rn. 403.</w:t>
      </w:r>
    </w:p>
  </w:footnote>
  <w:footnote w:id="3">
    <w:p w14:paraId="13CFA22D" w14:textId="77777777" w:rsidR="00C849BA" w:rsidRPr="00BD030B" w:rsidRDefault="00C849BA" w:rsidP="00C849BA">
      <w:pPr>
        <w:pStyle w:val="Footnote"/>
        <w:rPr>
          <w:rFonts w:ascii="Calibri" w:hAnsi="Calibri" w:cs="Calibri"/>
          <w:sz w:val="22"/>
          <w:szCs w:val="22"/>
        </w:rPr>
      </w:pPr>
      <w:r w:rsidRPr="00BD030B">
        <w:rPr>
          <w:rFonts w:ascii="Calibri" w:hAnsi="Calibri" w:cs="Calibri"/>
          <w:sz w:val="22"/>
          <w:szCs w:val="22"/>
          <w:vertAlign w:val="superscript"/>
        </w:rPr>
        <w:footnoteRef/>
      </w:r>
      <w:r w:rsidRPr="00BD030B">
        <w:rPr>
          <w:rFonts w:ascii="Calibri" w:hAnsi="Calibri" w:cs="Calibri"/>
          <w:sz w:val="22"/>
          <w:szCs w:val="22"/>
        </w:rPr>
        <w:t xml:space="preserve"> According to § 31 of the German Civil Code (BGB) which is applied to </w:t>
      </w:r>
      <w:r>
        <w:rPr>
          <w:rFonts w:ascii="Calibri" w:hAnsi="Calibri" w:cs="Calibri"/>
          <w:sz w:val="22"/>
          <w:szCs w:val="22"/>
        </w:rPr>
        <w:t xml:space="preserve">members of the executive board </w:t>
      </w:r>
      <w:r w:rsidRPr="00BD030B">
        <w:rPr>
          <w:rFonts w:ascii="Calibri" w:hAnsi="Calibri" w:cs="Calibri"/>
          <w:sz w:val="22"/>
          <w:szCs w:val="22"/>
        </w:rPr>
        <w:t>by analogy, ‘the association is liable for the damage to a third party that the board, a member of the board or another constitutionally appointed representative causes through an act committed by them in carrying out the business with which they have been entrusted, where the act gives rise to a liability in damages.’</w:t>
      </w:r>
    </w:p>
  </w:footnote>
  <w:footnote w:id="4">
    <w:p w14:paraId="2E8332C7" w14:textId="4B9CF48F" w:rsidR="00C849BA" w:rsidRPr="00016D10" w:rsidRDefault="00C849BA" w:rsidP="00C849BA">
      <w:pPr>
        <w:pStyle w:val="Footnote"/>
        <w:rPr>
          <w:rFonts w:ascii="Calibri" w:hAnsi="Calibri" w:cs="Calibri"/>
        </w:rPr>
      </w:pPr>
      <w:r w:rsidRPr="00BD030B">
        <w:rPr>
          <w:rFonts w:ascii="Calibri" w:hAnsi="Calibri" w:cs="Calibri"/>
          <w:sz w:val="22"/>
          <w:szCs w:val="22"/>
          <w:vertAlign w:val="superscript"/>
        </w:rPr>
        <w:footnoteRef/>
      </w:r>
      <w:r w:rsidRPr="00016D10">
        <w:rPr>
          <w:rFonts w:ascii="Calibri" w:hAnsi="Calibri" w:cs="Calibri"/>
          <w:sz w:val="22"/>
          <w:szCs w:val="22"/>
        </w:rPr>
        <w:t xml:space="preserve"> </w:t>
      </w:r>
      <w:r w:rsidR="00C354CE" w:rsidRPr="00016D10">
        <w:rPr>
          <w:rFonts w:ascii="Calibri" w:hAnsi="Calibri" w:cs="Calibri"/>
          <w:sz w:val="22"/>
          <w:szCs w:val="22"/>
        </w:rPr>
        <w:t>J. Koch, 20</w:t>
      </w:r>
      <w:r w:rsidR="00016D10" w:rsidRPr="00016D10">
        <w:rPr>
          <w:rFonts w:ascii="Calibri" w:hAnsi="Calibri" w:cs="Calibri"/>
          <w:sz w:val="22"/>
          <w:szCs w:val="22"/>
        </w:rPr>
        <w:t>th ed.</w:t>
      </w:r>
      <w:r w:rsidR="00C354CE" w:rsidRPr="00016D10">
        <w:rPr>
          <w:rFonts w:ascii="Calibri" w:hAnsi="Calibri" w:cs="Calibri"/>
          <w:sz w:val="22"/>
          <w:szCs w:val="22"/>
        </w:rPr>
        <w:t xml:space="preserve"> 2026, AktG § 93 n</w:t>
      </w:r>
      <w:r w:rsidR="00933842">
        <w:rPr>
          <w:rFonts w:ascii="Calibri" w:hAnsi="Calibri" w:cs="Calibri"/>
          <w:sz w:val="22"/>
          <w:szCs w:val="22"/>
        </w:rPr>
        <w:t>.</w:t>
      </w:r>
      <w:r w:rsidR="00C354CE" w:rsidRPr="00016D10">
        <w:rPr>
          <w:rFonts w:ascii="Calibri" w:hAnsi="Calibri" w:cs="Calibri"/>
          <w:sz w:val="22"/>
          <w:szCs w:val="22"/>
        </w:rPr>
        <w:t xml:space="preserve"> 87.</w:t>
      </w:r>
    </w:p>
  </w:footnote>
  <w:footnote w:id="5">
    <w:p w14:paraId="00B17391" w14:textId="2E77D2A1" w:rsidR="00BD030B" w:rsidRPr="00C354CE" w:rsidRDefault="00BD030B" w:rsidP="00BD030B">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C354CE">
        <w:rPr>
          <w:rFonts w:ascii="Calibri" w:hAnsi="Calibri" w:cs="Calibri"/>
          <w:sz w:val="22"/>
          <w:szCs w:val="22"/>
          <w:lang w:val="de-DE"/>
        </w:rPr>
        <w:t xml:space="preserve"> </w:t>
      </w:r>
      <w:r w:rsidR="00E84AFE">
        <w:rPr>
          <w:rFonts w:ascii="Calibri" w:hAnsi="Calibri" w:cs="Calibri"/>
          <w:sz w:val="22"/>
          <w:szCs w:val="22"/>
          <w:lang w:val="de-DE"/>
        </w:rPr>
        <w:t xml:space="preserve">BGH, </w:t>
      </w:r>
      <w:r w:rsidR="00E84AFE" w:rsidRPr="00E84AFE">
        <w:rPr>
          <w:rFonts w:ascii="Calibri" w:hAnsi="Calibri" w:cs="Calibri"/>
          <w:sz w:val="22"/>
          <w:szCs w:val="22"/>
          <w:lang w:val="de-DE"/>
        </w:rPr>
        <w:t>21</w:t>
      </w:r>
      <w:r w:rsidR="00E84AFE">
        <w:rPr>
          <w:rFonts w:ascii="Calibri" w:hAnsi="Calibri" w:cs="Calibri"/>
          <w:sz w:val="22"/>
          <w:szCs w:val="22"/>
          <w:lang w:val="de-DE"/>
        </w:rPr>
        <w:t xml:space="preserve"> April 1</w:t>
      </w:r>
      <w:r w:rsidR="00E84AFE" w:rsidRPr="00E84AFE">
        <w:rPr>
          <w:rFonts w:ascii="Calibri" w:hAnsi="Calibri" w:cs="Calibri"/>
          <w:sz w:val="22"/>
          <w:szCs w:val="22"/>
          <w:lang w:val="de-DE"/>
        </w:rPr>
        <w:t xml:space="preserve">997 </w:t>
      </w:r>
      <w:r w:rsidR="009C5888">
        <w:rPr>
          <w:rFonts w:ascii="Calibri" w:hAnsi="Calibri" w:cs="Calibri"/>
          <w:sz w:val="22"/>
          <w:szCs w:val="22"/>
          <w:lang w:val="de-DE"/>
        </w:rPr>
        <w:t>–</w:t>
      </w:r>
      <w:r w:rsidR="00E84AFE" w:rsidRPr="00E84AFE">
        <w:rPr>
          <w:rFonts w:ascii="Calibri" w:hAnsi="Calibri" w:cs="Calibri"/>
          <w:sz w:val="22"/>
          <w:szCs w:val="22"/>
          <w:lang w:val="de-DE"/>
        </w:rPr>
        <w:t xml:space="preserve"> II ZR 175/95</w:t>
      </w:r>
      <w:r w:rsidR="00E84AFE">
        <w:rPr>
          <w:rFonts w:ascii="Calibri" w:hAnsi="Calibri" w:cs="Calibri"/>
          <w:sz w:val="22"/>
          <w:szCs w:val="22"/>
          <w:lang w:val="de-DE"/>
        </w:rPr>
        <w:t xml:space="preserve">, </w:t>
      </w:r>
      <w:r w:rsidR="00E84AFE" w:rsidRPr="00E84AFE">
        <w:rPr>
          <w:rFonts w:ascii="Calibri" w:hAnsi="Calibri" w:cs="Calibri"/>
          <w:sz w:val="22"/>
          <w:szCs w:val="22"/>
          <w:lang w:val="de-DE"/>
        </w:rPr>
        <w:t xml:space="preserve">BGHZ 135, </w:t>
      </w:r>
      <w:r w:rsidR="00E84AFE">
        <w:rPr>
          <w:rFonts w:ascii="Calibri" w:hAnsi="Calibri" w:cs="Calibri"/>
          <w:sz w:val="22"/>
          <w:szCs w:val="22"/>
          <w:lang w:val="de-DE"/>
        </w:rPr>
        <w:t xml:space="preserve">pp. </w:t>
      </w:r>
      <w:r w:rsidR="00E84AFE" w:rsidRPr="00E84AFE">
        <w:rPr>
          <w:rFonts w:ascii="Calibri" w:hAnsi="Calibri" w:cs="Calibri"/>
          <w:sz w:val="22"/>
          <w:szCs w:val="22"/>
          <w:lang w:val="de-DE"/>
        </w:rPr>
        <w:t>244</w:t>
      </w:r>
      <w:r w:rsidR="00E84AFE">
        <w:rPr>
          <w:rFonts w:ascii="Calibri" w:hAnsi="Calibri" w:cs="Calibri"/>
          <w:sz w:val="22"/>
          <w:szCs w:val="22"/>
          <w:lang w:val="de-DE"/>
        </w:rPr>
        <w:t xml:space="preserve">, </w:t>
      </w:r>
      <w:r w:rsidR="00E84AFE" w:rsidRPr="00E84AFE">
        <w:rPr>
          <w:rFonts w:ascii="Calibri" w:hAnsi="Calibri" w:cs="Calibri"/>
          <w:sz w:val="22"/>
          <w:szCs w:val="22"/>
          <w:lang w:val="de-DE"/>
        </w:rPr>
        <w:t>253</w:t>
      </w:r>
      <w:r w:rsidR="00016D10">
        <w:rPr>
          <w:rFonts w:ascii="Calibri" w:hAnsi="Calibri" w:cs="Calibri"/>
          <w:sz w:val="22"/>
          <w:szCs w:val="22"/>
          <w:lang w:val="de-DE"/>
        </w:rPr>
        <w:t xml:space="preserve"> –</w:t>
      </w:r>
      <w:r w:rsidR="00E84AFE" w:rsidRPr="00E84AFE">
        <w:rPr>
          <w:rFonts w:ascii="Calibri" w:hAnsi="Calibri" w:cs="Calibri"/>
          <w:sz w:val="22"/>
          <w:szCs w:val="22"/>
          <w:lang w:val="de-DE"/>
        </w:rPr>
        <w:t xml:space="preserve"> ARAG/Garmenbeck.</w:t>
      </w:r>
    </w:p>
  </w:footnote>
  <w:footnote w:id="6">
    <w:p w14:paraId="45A30D4C" w14:textId="2BD8F6BA" w:rsidR="00BD030B" w:rsidRPr="00AF3F2C" w:rsidRDefault="00BD030B" w:rsidP="00BD030B">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AF3F2C">
        <w:rPr>
          <w:rFonts w:ascii="Calibri" w:hAnsi="Calibri" w:cs="Calibri"/>
          <w:sz w:val="22"/>
          <w:szCs w:val="22"/>
          <w:lang w:val="de-DE"/>
        </w:rPr>
        <w:t xml:space="preserve"> </w:t>
      </w:r>
      <w:r w:rsidR="00E84AFE" w:rsidRPr="00AF3F2C">
        <w:rPr>
          <w:rFonts w:ascii="Calibri" w:hAnsi="Calibri" w:cs="Calibri"/>
          <w:sz w:val="22"/>
          <w:szCs w:val="22"/>
          <w:lang w:val="de-DE"/>
        </w:rPr>
        <w:t xml:space="preserve">OLG Hamm, 6 April 2022 – 8 U 73/12, </w:t>
      </w:r>
      <w:r w:rsidR="00AF3F2C" w:rsidRPr="00AF3F2C">
        <w:rPr>
          <w:rFonts w:ascii="Calibri" w:hAnsi="Calibri" w:cs="Calibri"/>
          <w:sz w:val="22"/>
          <w:szCs w:val="22"/>
          <w:lang w:val="de-DE"/>
        </w:rPr>
        <w:t>Neue Zeitschri</w:t>
      </w:r>
      <w:r w:rsidR="00AF3F2C">
        <w:rPr>
          <w:rFonts w:ascii="Calibri" w:hAnsi="Calibri" w:cs="Calibri"/>
          <w:sz w:val="22"/>
          <w:szCs w:val="22"/>
          <w:lang w:val="de-DE"/>
        </w:rPr>
        <w:t>ft für Gesellschaftsrecht (</w:t>
      </w:r>
      <w:r w:rsidR="00E84AFE" w:rsidRPr="00AF3F2C">
        <w:rPr>
          <w:rFonts w:ascii="Calibri" w:hAnsi="Calibri" w:cs="Calibri"/>
          <w:sz w:val="22"/>
          <w:szCs w:val="22"/>
          <w:lang w:val="de-DE"/>
        </w:rPr>
        <w:t>NZG</w:t>
      </w:r>
      <w:r w:rsidR="00AF3F2C">
        <w:rPr>
          <w:rFonts w:ascii="Calibri" w:hAnsi="Calibri" w:cs="Calibri"/>
          <w:sz w:val="22"/>
          <w:szCs w:val="22"/>
          <w:lang w:val="de-DE"/>
        </w:rPr>
        <w:t>)</w:t>
      </w:r>
      <w:r w:rsidR="00E84AFE" w:rsidRPr="00AF3F2C">
        <w:rPr>
          <w:rFonts w:ascii="Calibri" w:hAnsi="Calibri" w:cs="Calibri"/>
          <w:sz w:val="22"/>
          <w:szCs w:val="22"/>
          <w:lang w:val="de-DE"/>
        </w:rPr>
        <w:t xml:space="preserve"> 2022, p</w:t>
      </w:r>
      <w:r w:rsidR="00D4634C" w:rsidRPr="00AF3F2C">
        <w:rPr>
          <w:rFonts w:ascii="Calibri" w:hAnsi="Calibri" w:cs="Calibri"/>
          <w:sz w:val="22"/>
          <w:szCs w:val="22"/>
          <w:lang w:val="de-DE"/>
        </w:rPr>
        <w:t>p</w:t>
      </w:r>
      <w:r w:rsidR="00E84AFE" w:rsidRPr="00AF3F2C">
        <w:rPr>
          <w:rFonts w:ascii="Calibri" w:hAnsi="Calibri" w:cs="Calibri"/>
          <w:sz w:val="22"/>
          <w:szCs w:val="22"/>
          <w:lang w:val="de-DE"/>
        </w:rPr>
        <w:t>. 662</w:t>
      </w:r>
      <w:r w:rsidR="00D4634C" w:rsidRPr="00AF3F2C">
        <w:rPr>
          <w:rFonts w:ascii="Calibri" w:hAnsi="Calibri" w:cs="Calibri"/>
          <w:sz w:val="22"/>
          <w:szCs w:val="22"/>
          <w:lang w:val="de-DE"/>
        </w:rPr>
        <w:t xml:space="preserve"> et seq. – Arcandor.</w:t>
      </w:r>
    </w:p>
  </w:footnote>
  <w:footnote w:id="7">
    <w:p w14:paraId="5B0382D0" w14:textId="455E9B3C" w:rsidR="00BD030B" w:rsidRPr="00BD030B" w:rsidRDefault="00BD030B" w:rsidP="00BD030B">
      <w:pPr>
        <w:pStyle w:val="Footnote"/>
        <w:rPr>
          <w:rFonts w:ascii="Calibri" w:hAnsi="Calibri" w:cs="Calibri"/>
          <w:sz w:val="22"/>
          <w:szCs w:val="22"/>
        </w:rPr>
      </w:pPr>
      <w:r w:rsidRPr="00BD030B">
        <w:rPr>
          <w:rFonts w:ascii="Calibri" w:hAnsi="Calibri" w:cs="Calibri"/>
          <w:sz w:val="22"/>
          <w:szCs w:val="22"/>
          <w:vertAlign w:val="superscript"/>
        </w:rPr>
        <w:footnoteRef/>
      </w:r>
      <w:r w:rsidRPr="00BD030B">
        <w:rPr>
          <w:rFonts w:ascii="Calibri" w:hAnsi="Calibri" w:cs="Calibri"/>
          <w:sz w:val="22"/>
          <w:szCs w:val="22"/>
        </w:rPr>
        <w:t xml:space="preserve"> See § 23 para 5 AktG: The by-laws may deviate from the provisions of the present Act only where this has been expressly permitted. Supplementing the by-laws by additional determinations is permissible unless the present Act provides conclusively for the matter.</w:t>
      </w:r>
    </w:p>
  </w:footnote>
  <w:footnote w:id="8">
    <w:p w14:paraId="2E9A8600" w14:textId="2D33F3B5" w:rsidR="00801EBA" w:rsidRPr="008C6BDB" w:rsidRDefault="00801EBA" w:rsidP="00801EBA">
      <w:pPr>
        <w:pStyle w:val="Footnote"/>
        <w:rPr>
          <w:rFonts w:ascii="Calibri" w:hAnsi="Calibri" w:cs="Calibri"/>
          <w:sz w:val="22"/>
          <w:szCs w:val="22"/>
        </w:rPr>
      </w:pPr>
      <w:r w:rsidRPr="00BD030B">
        <w:rPr>
          <w:rFonts w:ascii="Calibri" w:hAnsi="Calibri" w:cs="Calibri"/>
          <w:sz w:val="22"/>
          <w:szCs w:val="22"/>
          <w:vertAlign w:val="superscript"/>
        </w:rPr>
        <w:footnoteRef/>
      </w:r>
      <w:r w:rsidR="000C67A7" w:rsidRPr="008C6BDB">
        <w:rPr>
          <w:rFonts w:ascii="Calibri" w:hAnsi="Calibri" w:cs="Calibri"/>
          <w:sz w:val="22"/>
          <w:szCs w:val="22"/>
        </w:rPr>
        <w:t xml:space="preserve"> </w:t>
      </w:r>
      <w:r w:rsidR="008C6BDB" w:rsidRPr="008C6BDB">
        <w:rPr>
          <w:rFonts w:ascii="Calibri" w:hAnsi="Calibri" w:cs="Calibri"/>
          <w:sz w:val="22"/>
          <w:szCs w:val="22"/>
        </w:rPr>
        <w:t xml:space="preserve">Under </w:t>
      </w:r>
      <w:r w:rsidR="007F2333" w:rsidRPr="008C6BDB">
        <w:rPr>
          <w:rFonts w:ascii="Calibri" w:hAnsi="Calibri" w:cs="Calibri"/>
          <w:sz w:val="22"/>
          <w:szCs w:val="22"/>
        </w:rPr>
        <w:t xml:space="preserve">§ 93 </w:t>
      </w:r>
      <w:r w:rsidR="0009785C">
        <w:rPr>
          <w:rFonts w:ascii="Calibri" w:hAnsi="Calibri" w:cs="Calibri"/>
          <w:sz w:val="22"/>
          <w:szCs w:val="22"/>
        </w:rPr>
        <w:t>para</w:t>
      </w:r>
      <w:r w:rsidR="007F2333" w:rsidRPr="008C6BDB">
        <w:rPr>
          <w:rFonts w:ascii="Calibri" w:hAnsi="Calibri" w:cs="Calibri"/>
          <w:sz w:val="22"/>
          <w:szCs w:val="22"/>
        </w:rPr>
        <w:t xml:space="preserve"> </w:t>
      </w:r>
      <w:r w:rsidR="007F2333" w:rsidRPr="007F2333">
        <w:rPr>
          <w:rFonts w:ascii="Calibri" w:hAnsi="Calibri" w:cs="Calibri"/>
          <w:sz w:val="22"/>
          <w:szCs w:val="22"/>
        </w:rPr>
        <w:t xml:space="preserve">2 sent 2 AktG </w:t>
      </w:r>
      <w:r w:rsidR="008C6BDB" w:rsidRPr="008C6BDB">
        <w:rPr>
          <w:rFonts w:ascii="Calibri" w:hAnsi="Calibri" w:cs="Calibri"/>
          <w:sz w:val="22"/>
          <w:szCs w:val="22"/>
        </w:rPr>
        <w:t>no liability arises if, when taking a business decision, the member of the management board could reasonably assume, on the basis of sufficient information, that they were acting in the best interests of the company. It should be noted, however, that according to the legislature’s intention, only decisions which are by their nature forward-looking and characterised by forecasts and assessments are deemed to be ‘business decisions’</w:t>
      </w:r>
      <w:r w:rsidR="008C6BDB">
        <w:rPr>
          <w:rFonts w:ascii="Calibri" w:hAnsi="Calibri" w:cs="Calibri"/>
          <w:sz w:val="22"/>
          <w:szCs w:val="22"/>
        </w:rPr>
        <w:t xml:space="preserve"> (see </w:t>
      </w:r>
      <w:r w:rsidR="008C6BDB" w:rsidRPr="008C6BDB">
        <w:rPr>
          <w:rFonts w:ascii="Calibri" w:hAnsi="Calibri" w:cs="Calibri"/>
          <w:sz w:val="22"/>
          <w:szCs w:val="22"/>
        </w:rPr>
        <w:t>Bu</w:t>
      </w:r>
      <w:r w:rsidR="008C6BDB">
        <w:rPr>
          <w:rFonts w:ascii="Calibri" w:hAnsi="Calibri" w:cs="Calibri"/>
          <w:sz w:val="22"/>
          <w:szCs w:val="22"/>
        </w:rPr>
        <w:t>ndestags</w:t>
      </w:r>
      <w:r w:rsidR="008C6BDB" w:rsidRPr="008C6BDB">
        <w:rPr>
          <w:rFonts w:ascii="Calibri" w:hAnsi="Calibri" w:cs="Calibri"/>
          <w:sz w:val="22"/>
          <w:szCs w:val="22"/>
        </w:rPr>
        <w:t>-Dr</w:t>
      </w:r>
      <w:r w:rsidR="008C6BDB">
        <w:rPr>
          <w:rFonts w:ascii="Calibri" w:hAnsi="Calibri" w:cs="Calibri"/>
          <w:sz w:val="22"/>
          <w:szCs w:val="22"/>
        </w:rPr>
        <w:t>ucksache</w:t>
      </w:r>
      <w:r w:rsidR="008C6BDB" w:rsidRPr="008C6BDB">
        <w:rPr>
          <w:rFonts w:ascii="Calibri" w:hAnsi="Calibri" w:cs="Calibri"/>
          <w:sz w:val="22"/>
          <w:szCs w:val="22"/>
        </w:rPr>
        <w:t> 15/5092, 11).</w:t>
      </w:r>
    </w:p>
  </w:footnote>
  <w:footnote w:id="9">
    <w:p w14:paraId="6DAA8B91" w14:textId="36B687B1" w:rsidR="00BD030B" w:rsidRPr="002522D5" w:rsidRDefault="00BD030B" w:rsidP="00BD030B">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2522D5">
        <w:rPr>
          <w:rFonts w:ascii="Calibri" w:hAnsi="Calibri" w:cs="Calibri"/>
          <w:sz w:val="22"/>
          <w:szCs w:val="22"/>
          <w:lang w:val="de-DE"/>
        </w:rPr>
        <w:t xml:space="preserve"> </w:t>
      </w:r>
      <w:r w:rsidR="002522D5" w:rsidRPr="002522D5">
        <w:rPr>
          <w:rFonts w:ascii="Calibri" w:hAnsi="Calibri" w:cs="Calibri"/>
          <w:sz w:val="22"/>
          <w:szCs w:val="22"/>
          <w:lang w:val="de-DE"/>
        </w:rPr>
        <w:t xml:space="preserve">Ihlas in </w:t>
      </w:r>
      <w:r w:rsidR="00D4634C" w:rsidRPr="00D4634C">
        <w:rPr>
          <w:rFonts w:ascii="Calibri" w:hAnsi="Calibri" w:cs="Calibri"/>
          <w:sz w:val="22"/>
          <w:szCs w:val="22"/>
          <w:lang w:val="de-DE"/>
        </w:rPr>
        <w:t>Langheid/Wandt</w:t>
      </w:r>
      <w:r w:rsidR="00D4634C">
        <w:rPr>
          <w:rFonts w:ascii="Calibri" w:hAnsi="Calibri" w:cs="Calibri"/>
          <w:sz w:val="22"/>
          <w:szCs w:val="22"/>
          <w:lang w:val="de-DE"/>
        </w:rPr>
        <w:t xml:space="preserve"> (</w:t>
      </w:r>
      <w:r w:rsidR="0009785C">
        <w:rPr>
          <w:rFonts w:ascii="Calibri" w:hAnsi="Calibri" w:cs="Calibri"/>
          <w:sz w:val="22"/>
          <w:szCs w:val="22"/>
          <w:lang w:val="de-DE"/>
        </w:rPr>
        <w:t>eds.)</w:t>
      </w:r>
      <w:r w:rsidR="00D4634C" w:rsidRPr="00D4634C">
        <w:rPr>
          <w:rFonts w:ascii="Calibri" w:hAnsi="Calibri" w:cs="Calibri"/>
          <w:sz w:val="22"/>
          <w:szCs w:val="22"/>
          <w:lang w:val="de-DE"/>
        </w:rPr>
        <w:t xml:space="preserve">, </w:t>
      </w:r>
      <w:r w:rsidR="00D4634C">
        <w:rPr>
          <w:rFonts w:ascii="Calibri" w:hAnsi="Calibri" w:cs="Calibri"/>
          <w:sz w:val="22"/>
          <w:szCs w:val="22"/>
          <w:lang w:val="de-DE"/>
        </w:rPr>
        <w:t xml:space="preserve">Münchener Kommentar zum </w:t>
      </w:r>
      <w:r w:rsidR="00A02EAD">
        <w:rPr>
          <w:rFonts w:ascii="Calibri" w:hAnsi="Calibri" w:cs="Calibri"/>
          <w:sz w:val="22"/>
          <w:szCs w:val="22"/>
          <w:lang w:val="de-DE"/>
        </w:rPr>
        <w:t xml:space="preserve">VVG, vol. 4, </w:t>
      </w:r>
      <w:r w:rsidR="00D4634C" w:rsidRPr="00D4634C">
        <w:rPr>
          <w:rFonts w:ascii="Calibri" w:hAnsi="Calibri" w:cs="Calibri"/>
          <w:sz w:val="22"/>
          <w:szCs w:val="22"/>
          <w:lang w:val="de-DE"/>
        </w:rPr>
        <w:t>3</w:t>
      </w:r>
      <w:r w:rsidR="0034591A">
        <w:rPr>
          <w:rFonts w:ascii="Calibri" w:hAnsi="Calibri" w:cs="Calibri"/>
          <w:sz w:val="22"/>
          <w:szCs w:val="22"/>
          <w:lang w:val="de-DE"/>
        </w:rPr>
        <w:t>rd ed.</w:t>
      </w:r>
      <w:r w:rsidR="00D4634C" w:rsidRPr="00D4634C">
        <w:rPr>
          <w:rFonts w:ascii="Calibri" w:hAnsi="Calibri" w:cs="Calibri"/>
          <w:sz w:val="22"/>
          <w:szCs w:val="22"/>
          <w:lang w:val="de-DE"/>
        </w:rPr>
        <w:t xml:space="preserve"> 2025, </w:t>
      </w:r>
      <w:r w:rsidR="00A02EAD">
        <w:rPr>
          <w:rFonts w:ascii="Calibri" w:hAnsi="Calibri" w:cs="Calibri"/>
          <w:sz w:val="22"/>
          <w:szCs w:val="22"/>
          <w:lang w:val="de-DE"/>
        </w:rPr>
        <w:t xml:space="preserve">Kap. </w:t>
      </w:r>
      <w:r w:rsidR="00D4634C" w:rsidRPr="00D4634C">
        <w:rPr>
          <w:rFonts w:ascii="Calibri" w:hAnsi="Calibri" w:cs="Calibri"/>
          <w:sz w:val="22"/>
          <w:szCs w:val="22"/>
          <w:lang w:val="de-DE"/>
        </w:rPr>
        <w:t xml:space="preserve">35 </w:t>
      </w:r>
      <w:r w:rsidR="00D4634C">
        <w:rPr>
          <w:rFonts w:ascii="Calibri" w:hAnsi="Calibri" w:cs="Calibri"/>
          <w:sz w:val="22"/>
          <w:szCs w:val="22"/>
          <w:lang w:val="de-DE"/>
        </w:rPr>
        <w:t>n</w:t>
      </w:r>
      <w:r w:rsidR="00933842">
        <w:rPr>
          <w:rFonts w:ascii="Calibri" w:hAnsi="Calibri" w:cs="Calibri"/>
          <w:sz w:val="22"/>
          <w:szCs w:val="22"/>
          <w:lang w:val="de-DE"/>
        </w:rPr>
        <w:t>.</w:t>
      </w:r>
      <w:r w:rsidR="00D4634C">
        <w:rPr>
          <w:rFonts w:ascii="Calibri" w:hAnsi="Calibri" w:cs="Calibri"/>
          <w:sz w:val="22"/>
          <w:szCs w:val="22"/>
          <w:lang w:val="de-DE"/>
        </w:rPr>
        <w:t xml:space="preserve"> 66</w:t>
      </w:r>
      <w:r w:rsidR="00A02EAD">
        <w:rPr>
          <w:rFonts w:ascii="Calibri" w:hAnsi="Calibri" w:cs="Calibri"/>
          <w:sz w:val="22"/>
          <w:szCs w:val="22"/>
          <w:lang w:val="de-DE"/>
        </w:rPr>
        <w:t>.</w:t>
      </w:r>
    </w:p>
  </w:footnote>
  <w:footnote w:id="10">
    <w:p w14:paraId="052E1E6F" w14:textId="3F142757" w:rsidR="00305960" w:rsidRPr="002522D5" w:rsidRDefault="00BD030B" w:rsidP="00BD030B">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2522D5">
        <w:rPr>
          <w:rFonts w:ascii="Calibri" w:hAnsi="Calibri" w:cs="Calibri"/>
          <w:sz w:val="22"/>
          <w:szCs w:val="22"/>
          <w:lang w:val="de-DE"/>
        </w:rPr>
        <w:t xml:space="preserve"> </w:t>
      </w:r>
      <w:r w:rsidR="0034591A" w:rsidRPr="0034591A">
        <w:rPr>
          <w:rFonts w:ascii="Calibri" w:hAnsi="Calibri" w:cs="Calibri"/>
          <w:sz w:val="22"/>
          <w:szCs w:val="22"/>
          <w:lang w:val="de-DE"/>
        </w:rPr>
        <w:t xml:space="preserve">W. Doralt </w:t>
      </w:r>
      <w:r w:rsidR="0034591A">
        <w:rPr>
          <w:rFonts w:ascii="Calibri" w:hAnsi="Calibri" w:cs="Calibri"/>
          <w:sz w:val="22"/>
          <w:szCs w:val="22"/>
          <w:lang w:val="de-DE"/>
        </w:rPr>
        <w:t>in</w:t>
      </w:r>
      <w:r w:rsidR="0034591A" w:rsidRPr="0034591A">
        <w:rPr>
          <w:rFonts w:ascii="Calibri" w:hAnsi="Calibri" w:cs="Calibri"/>
          <w:sz w:val="22"/>
          <w:szCs w:val="22"/>
          <w:lang w:val="de-DE"/>
        </w:rPr>
        <w:t xml:space="preserve"> Semler/v. Schenck/Wilsing </w:t>
      </w:r>
      <w:r w:rsidR="0034591A">
        <w:rPr>
          <w:rFonts w:ascii="Calibri" w:hAnsi="Calibri" w:cs="Calibri"/>
          <w:sz w:val="22"/>
          <w:szCs w:val="22"/>
          <w:lang w:val="de-DE"/>
        </w:rPr>
        <w:t>(</w:t>
      </w:r>
      <w:r w:rsidR="0009785C">
        <w:rPr>
          <w:rFonts w:ascii="Calibri" w:hAnsi="Calibri" w:cs="Calibri"/>
          <w:sz w:val="22"/>
          <w:szCs w:val="22"/>
          <w:lang w:val="de-DE"/>
        </w:rPr>
        <w:t>eds.)</w:t>
      </w:r>
      <w:r w:rsidR="0034591A">
        <w:rPr>
          <w:rFonts w:ascii="Calibri" w:hAnsi="Calibri" w:cs="Calibri"/>
          <w:sz w:val="22"/>
          <w:szCs w:val="22"/>
          <w:lang w:val="de-DE"/>
        </w:rPr>
        <w:t xml:space="preserve">, </w:t>
      </w:r>
      <w:r w:rsidR="0034591A" w:rsidRPr="0034591A">
        <w:rPr>
          <w:rFonts w:ascii="Calibri" w:hAnsi="Calibri" w:cs="Calibri"/>
          <w:sz w:val="22"/>
          <w:szCs w:val="22"/>
          <w:lang w:val="de-DE"/>
        </w:rPr>
        <w:t>Arbeitshandbuch für Aufsichtsratsmitglieder</w:t>
      </w:r>
      <w:r w:rsidR="0034591A">
        <w:rPr>
          <w:rFonts w:ascii="Calibri" w:hAnsi="Calibri" w:cs="Calibri"/>
          <w:sz w:val="22"/>
          <w:szCs w:val="22"/>
          <w:lang w:val="de-DE"/>
        </w:rPr>
        <w:t xml:space="preserve">, </w:t>
      </w:r>
      <w:r w:rsidR="0034591A" w:rsidRPr="0034591A">
        <w:rPr>
          <w:rFonts w:ascii="Calibri" w:hAnsi="Calibri" w:cs="Calibri"/>
          <w:sz w:val="22"/>
          <w:szCs w:val="22"/>
          <w:lang w:val="de-DE"/>
        </w:rPr>
        <w:t>6</w:t>
      </w:r>
      <w:r w:rsidR="0034591A">
        <w:rPr>
          <w:rFonts w:ascii="Calibri" w:hAnsi="Calibri" w:cs="Calibri"/>
          <w:sz w:val="22"/>
          <w:szCs w:val="22"/>
          <w:lang w:val="de-DE"/>
        </w:rPr>
        <w:t>th</w:t>
      </w:r>
      <w:r w:rsidR="0034591A" w:rsidRPr="0034591A">
        <w:rPr>
          <w:rFonts w:ascii="Calibri" w:hAnsi="Calibri" w:cs="Calibri"/>
          <w:sz w:val="22"/>
          <w:szCs w:val="22"/>
          <w:lang w:val="de-DE"/>
        </w:rPr>
        <w:t xml:space="preserve"> </w:t>
      </w:r>
      <w:r w:rsidR="0034591A">
        <w:rPr>
          <w:rFonts w:ascii="Calibri" w:hAnsi="Calibri" w:cs="Calibri"/>
          <w:sz w:val="22"/>
          <w:szCs w:val="22"/>
          <w:lang w:val="de-DE"/>
        </w:rPr>
        <w:t>ed.</w:t>
      </w:r>
      <w:r w:rsidR="0034591A" w:rsidRPr="0034591A">
        <w:rPr>
          <w:rFonts w:ascii="Calibri" w:hAnsi="Calibri" w:cs="Calibri"/>
          <w:sz w:val="22"/>
          <w:szCs w:val="22"/>
          <w:lang w:val="de-DE"/>
        </w:rPr>
        <w:t xml:space="preserve"> 2025</w:t>
      </w:r>
      <w:r w:rsidR="0034591A">
        <w:rPr>
          <w:rFonts w:ascii="Calibri" w:hAnsi="Calibri" w:cs="Calibri"/>
          <w:sz w:val="22"/>
          <w:szCs w:val="22"/>
          <w:lang w:val="de-DE"/>
        </w:rPr>
        <w:t>,</w:t>
      </w:r>
      <w:r w:rsidR="0034591A" w:rsidRPr="0034591A">
        <w:rPr>
          <w:rFonts w:ascii="Calibri" w:hAnsi="Calibri" w:cs="Calibri"/>
          <w:sz w:val="22"/>
          <w:szCs w:val="22"/>
          <w:lang w:val="de-DE"/>
        </w:rPr>
        <w:t xml:space="preserve"> § 18 Versicherung gegen Schadensersatzansprüche (D&amp;O-Versicherung) n. 1</w:t>
      </w:r>
      <w:r w:rsidR="0034591A">
        <w:rPr>
          <w:rFonts w:ascii="Calibri" w:hAnsi="Calibri" w:cs="Calibri"/>
          <w:sz w:val="22"/>
          <w:szCs w:val="22"/>
          <w:lang w:val="de-DE"/>
        </w:rPr>
        <w:t>5.</w:t>
      </w:r>
    </w:p>
  </w:footnote>
  <w:footnote w:id="11">
    <w:p w14:paraId="62C69259" w14:textId="27777F2F" w:rsidR="00BD030B" w:rsidRPr="00C354CE" w:rsidRDefault="00BD030B" w:rsidP="00BD030B">
      <w:pPr>
        <w:pStyle w:val="Footnote"/>
        <w:rPr>
          <w:rFonts w:asciiTheme="minorHAnsi" w:hAnsiTheme="minorHAnsi" w:cstheme="minorHAnsi"/>
          <w:sz w:val="22"/>
          <w:szCs w:val="22"/>
          <w:lang w:val="de-DE"/>
        </w:rPr>
      </w:pPr>
      <w:r w:rsidRPr="00BD030B">
        <w:rPr>
          <w:rFonts w:ascii="Calibri" w:hAnsi="Calibri" w:cs="Calibri"/>
          <w:sz w:val="22"/>
          <w:szCs w:val="22"/>
          <w:vertAlign w:val="superscript"/>
        </w:rPr>
        <w:footnoteRef/>
      </w:r>
      <w:r w:rsidRPr="00B346FC">
        <w:rPr>
          <w:rFonts w:ascii="Calibri" w:hAnsi="Calibri" w:cs="Calibri"/>
          <w:sz w:val="22"/>
          <w:szCs w:val="22"/>
          <w:lang w:val="de-DE"/>
        </w:rPr>
        <w:t xml:space="preserve"> </w:t>
      </w:r>
      <w:r w:rsidR="00A52463" w:rsidRPr="00B346FC">
        <w:rPr>
          <w:rFonts w:asciiTheme="minorHAnsi" w:hAnsiTheme="minorHAnsi" w:cstheme="minorHAnsi"/>
          <w:sz w:val="22"/>
          <w:szCs w:val="22"/>
          <w:lang w:val="de-DE"/>
        </w:rPr>
        <w:t xml:space="preserve">BGH, 20 April 2016 – IV ZR 531/14, </w:t>
      </w:r>
      <w:r w:rsidR="00AF3F2C">
        <w:rPr>
          <w:rFonts w:asciiTheme="minorHAnsi" w:hAnsiTheme="minorHAnsi" w:cstheme="minorHAnsi"/>
          <w:sz w:val="22"/>
          <w:szCs w:val="22"/>
          <w:lang w:val="de-DE"/>
        </w:rPr>
        <w:t>recht und schaden (</w:t>
      </w:r>
      <w:r w:rsidR="009C5888" w:rsidRPr="00B346FC">
        <w:rPr>
          <w:rFonts w:asciiTheme="minorHAnsi" w:hAnsiTheme="minorHAnsi" w:cstheme="minorHAnsi"/>
          <w:sz w:val="22"/>
          <w:szCs w:val="22"/>
          <w:lang w:val="de-DE"/>
        </w:rPr>
        <w:t>r+s</w:t>
      </w:r>
      <w:r w:rsidR="00AF3F2C" w:rsidRPr="00B346FC">
        <w:rPr>
          <w:rFonts w:asciiTheme="minorHAnsi" w:hAnsiTheme="minorHAnsi" w:cstheme="minorHAnsi"/>
          <w:sz w:val="22"/>
          <w:szCs w:val="22"/>
          <w:lang w:val="de-DE"/>
        </w:rPr>
        <w:t>)</w:t>
      </w:r>
      <w:r w:rsidR="00A52463" w:rsidRPr="00B346FC">
        <w:rPr>
          <w:rFonts w:asciiTheme="minorHAnsi" w:hAnsiTheme="minorHAnsi" w:cstheme="minorHAnsi"/>
          <w:sz w:val="22"/>
          <w:szCs w:val="22"/>
          <w:lang w:val="de-DE"/>
        </w:rPr>
        <w:t xml:space="preserve"> 2016, p. 455, </w:t>
      </w:r>
      <w:r w:rsidR="0009785C" w:rsidRPr="00B346FC">
        <w:rPr>
          <w:rFonts w:asciiTheme="minorHAnsi" w:hAnsiTheme="minorHAnsi" w:cstheme="minorHAnsi"/>
          <w:sz w:val="22"/>
          <w:szCs w:val="22"/>
          <w:lang w:val="de-DE"/>
        </w:rPr>
        <w:t>para</w:t>
      </w:r>
      <w:r w:rsidR="00A52463" w:rsidRPr="00B346FC">
        <w:rPr>
          <w:rFonts w:asciiTheme="minorHAnsi" w:hAnsiTheme="minorHAnsi" w:cstheme="minorHAnsi"/>
          <w:sz w:val="22"/>
          <w:szCs w:val="22"/>
          <w:lang w:val="de-DE"/>
        </w:rPr>
        <w:t xml:space="preserve"> 17; for further details </w:t>
      </w:r>
      <w:r w:rsidR="00A52463" w:rsidRPr="00B346FC">
        <w:rPr>
          <w:rFonts w:asciiTheme="minorHAnsi" w:hAnsiTheme="minorHAnsi" w:cstheme="minorHAnsi"/>
          <w:i/>
          <w:sz w:val="22"/>
          <w:szCs w:val="22"/>
          <w:lang w:val="de-DE"/>
        </w:rPr>
        <w:t>see</w:t>
      </w:r>
      <w:r w:rsidR="00A52463" w:rsidRPr="00B346FC">
        <w:rPr>
          <w:rFonts w:asciiTheme="minorHAnsi" w:hAnsiTheme="minorHAnsi" w:cstheme="minorHAnsi"/>
          <w:sz w:val="22"/>
          <w:szCs w:val="22"/>
          <w:lang w:val="de-DE"/>
        </w:rPr>
        <w:t xml:space="preserve"> </w:t>
      </w:r>
      <w:r w:rsidR="0074622A" w:rsidRPr="00B346FC">
        <w:rPr>
          <w:rFonts w:asciiTheme="minorHAnsi" w:hAnsiTheme="minorHAnsi" w:cstheme="minorHAnsi"/>
          <w:sz w:val="22"/>
          <w:szCs w:val="22"/>
          <w:lang w:val="de-DE"/>
        </w:rPr>
        <w:t xml:space="preserve">R. </w:t>
      </w:r>
      <w:r w:rsidR="00A52463" w:rsidRPr="00B346FC">
        <w:rPr>
          <w:rFonts w:asciiTheme="minorHAnsi" w:hAnsiTheme="minorHAnsi" w:cstheme="minorHAnsi"/>
          <w:sz w:val="22"/>
          <w:szCs w:val="22"/>
          <w:lang w:val="de-DE"/>
        </w:rPr>
        <w:t xml:space="preserve">Koch </w:t>
      </w:r>
      <w:r w:rsidR="0074622A" w:rsidRPr="00990D5B">
        <w:rPr>
          <w:rFonts w:ascii="Calibri" w:hAnsi="Calibri" w:cs="Calibri"/>
          <w:sz w:val="22"/>
          <w:szCs w:val="22"/>
          <w:lang w:val="de-DE"/>
        </w:rPr>
        <w:t xml:space="preserve">in </w:t>
      </w:r>
      <w:r w:rsidR="0074622A">
        <w:rPr>
          <w:rFonts w:ascii="Calibri" w:hAnsi="Calibri" w:cs="Calibri"/>
          <w:sz w:val="22"/>
          <w:szCs w:val="22"/>
          <w:lang w:val="de-DE"/>
        </w:rPr>
        <w:t>Beckmann/R. Koch (</w:t>
      </w:r>
      <w:r w:rsidR="0009785C">
        <w:rPr>
          <w:rFonts w:ascii="Calibri" w:hAnsi="Calibri" w:cs="Calibri"/>
          <w:sz w:val="22"/>
          <w:szCs w:val="22"/>
          <w:lang w:val="de-DE"/>
        </w:rPr>
        <w:t>eds.)</w:t>
      </w:r>
      <w:r w:rsidR="0074622A">
        <w:rPr>
          <w:rFonts w:ascii="Calibri" w:hAnsi="Calibri" w:cs="Calibri"/>
          <w:sz w:val="22"/>
          <w:szCs w:val="22"/>
          <w:lang w:val="de-DE"/>
        </w:rPr>
        <w:t>,</w:t>
      </w:r>
      <w:r w:rsidR="00A52463" w:rsidRPr="00C354CE">
        <w:rPr>
          <w:rFonts w:asciiTheme="minorHAnsi" w:hAnsiTheme="minorHAnsi" w:cstheme="minorHAnsi"/>
          <w:sz w:val="22"/>
          <w:szCs w:val="22"/>
          <w:lang w:val="de-DE"/>
        </w:rPr>
        <w:t xml:space="preserve"> Bruck/Moeller, Großkommentar zum VVG, </w:t>
      </w:r>
      <w:r w:rsidR="0034591A" w:rsidRPr="00C354CE">
        <w:rPr>
          <w:rFonts w:asciiTheme="minorHAnsi" w:hAnsiTheme="minorHAnsi" w:cstheme="minorHAnsi"/>
          <w:sz w:val="22"/>
          <w:szCs w:val="22"/>
          <w:lang w:val="de-DE"/>
        </w:rPr>
        <w:t xml:space="preserve">vol. 4, </w:t>
      </w:r>
      <w:r w:rsidR="00A52463" w:rsidRPr="00C354CE">
        <w:rPr>
          <w:rFonts w:asciiTheme="minorHAnsi" w:hAnsiTheme="minorHAnsi" w:cstheme="minorHAnsi"/>
          <w:sz w:val="22"/>
          <w:szCs w:val="22"/>
          <w:lang w:val="de-DE"/>
        </w:rPr>
        <w:t>10th ed.</w:t>
      </w:r>
      <w:r w:rsidR="0034591A">
        <w:rPr>
          <w:rFonts w:asciiTheme="minorHAnsi" w:hAnsiTheme="minorHAnsi" w:cstheme="minorHAnsi"/>
          <w:sz w:val="22"/>
          <w:szCs w:val="22"/>
          <w:lang w:val="de-DE"/>
        </w:rPr>
        <w:t xml:space="preserve"> 2022</w:t>
      </w:r>
      <w:r w:rsidR="00A52463" w:rsidRPr="00C354CE">
        <w:rPr>
          <w:rFonts w:asciiTheme="minorHAnsi" w:hAnsiTheme="minorHAnsi" w:cstheme="minorHAnsi"/>
          <w:sz w:val="22"/>
          <w:szCs w:val="22"/>
          <w:lang w:val="de-DE"/>
        </w:rPr>
        <w:t>, § 100 VVG ns</w:t>
      </w:r>
      <w:r w:rsidR="00933842">
        <w:rPr>
          <w:rFonts w:asciiTheme="minorHAnsi" w:hAnsiTheme="minorHAnsi" w:cstheme="minorHAnsi"/>
          <w:sz w:val="22"/>
          <w:szCs w:val="22"/>
          <w:lang w:val="de-DE"/>
        </w:rPr>
        <w:t>.</w:t>
      </w:r>
      <w:r w:rsidR="00A52463" w:rsidRPr="00C354CE">
        <w:rPr>
          <w:rFonts w:asciiTheme="minorHAnsi" w:hAnsiTheme="minorHAnsi" w:cstheme="minorHAnsi"/>
          <w:sz w:val="22"/>
          <w:szCs w:val="22"/>
          <w:lang w:val="de-DE"/>
        </w:rPr>
        <w:t xml:space="preserve"> 134, 135.</w:t>
      </w:r>
    </w:p>
  </w:footnote>
  <w:footnote w:id="12">
    <w:p w14:paraId="736F1099" w14:textId="01DB7735" w:rsidR="00285DC0" w:rsidRPr="00C354CE" w:rsidRDefault="00285DC0" w:rsidP="00285DC0">
      <w:pPr>
        <w:pStyle w:val="Footnote"/>
        <w:rPr>
          <w:rFonts w:asciiTheme="minorHAnsi" w:hAnsiTheme="minorHAnsi" w:cstheme="minorHAnsi"/>
          <w:sz w:val="22"/>
          <w:szCs w:val="22"/>
          <w:lang w:val="de-DE"/>
        </w:rPr>
      </w:pPr>
      <w:r w:rsidRPr="00C354CE">
        <w:rPr>
          <w:rFonts w:asciiTheme="minorHAnsi" w:hAnsiTheme="minorHAnsi" w:cstheme="minorHAnsi"/>
          <w:sz w:val="22"/>
          <w:szCs w:val="22"/>
          <w:vertAlign w:val="superscript"/>
        </w:rPr>
        <w:footnoteRef/>
      </w:r>
      <w:r w:rsidRPr="00C354CE">
        <w:rPr>
          <w:rFonts w:asciiTheme="minorHAnsi" w:hAnsiTheme="minorHAnsi" w:cstheme="minorHAnsi"/>
          <w:sz w:val="22"/>
          <w:szCs w:val="22"/>
          <w:lang w:val="de-DE"/>
        </w:rPr>
        <w:t xml:space="preserve"> </w:t>
      </w:r>
      <w:r w:rsidR="003073E0" w:rsidRPr="00C354CE">
        <w:rPr>
          <w:rFonts w:asciiTheme="minorHAnsi" w:hAnsiTheme="minorHAnsi" w:cstheme="minorHAnsi"/>
          <w:sz w:val="22"/>
          <w:szCs w:val="22"/>
          <w:lang w:val="de-DE"/>
        </w:rPr>
        <w:t xml:space="preserve">BGH, </w:t>
      </w:r>
      <w:r w:rsidR="00A52463" w:rsidRPr="00C354CE">
        <w:rPr>
          <w:rFonts w:asciiTheme="minorHAnsi" w:hAnsiTheme="minorHAnsi" w:cstheme="minorHAnsi"/>
          <w:sz w:val="22"/>
          <w:szCs w:val="22"/>
          <w:lang w:val="de-DE"/>
        </w:rPr>
        <w:t>13 April 201</w:t>
      </w:r>
      <w:r w:rsidR="003073E0" w:rsidRPr="00C354CE">
        <w:rPr>
          <w:rFonts w:asciiTheme="minorHAnsi" w:hAnsiTheme="minorHAnsi" w:cstheme="minorHAnsi"/>
          <w:sz w:val="22"/>
          <w:szCs w:val="22"/>
          <w:lang w:val="de-DE"/>
        </w:rPr>
        <w:t xml:space="preserve">6 – IV ZR 304/13, </w:t>
      </w:r>
      <w:r w:rsidR="00AF3F2C" w:rsidRPr="00AF3F2C">
        <w:rPr>
          <w:rFonts w:asciiTheme="minorHAnsi" w:hAnsiTheme="minorHAnsi" w:cstheme="minorHAnsi"/>
          <w:sz w:val="22"/>
          <w:szCs w:val="22"/>
          <w:lang w:val="de-DE"/>
        </w:rPr>
        <w:t>Versicherungsrecht – Zeitschrift für Versicherungsrecht, Haftungs- und Schadensrech</w:t>
      </w:r>
      <w:r w:rsidR="00AF3F2C">
        <w:rPr>
          <w:rFonts w:asciiTheme="minorHAnsi" w:hAnsiTheme="minorHAnsi" w:cstheme="minorHAnsi"/>
          <w:sz w:val="22"/>
          <w:szCs w:val="22"/>
          <w:lang w:val="de-DE"/>
        </w:rPr>
        <w:t>t (</w:t>
      </w:r>
      <w:r w:rsidR="003073E0" w:rsidRPr="00C354CE">
        <w:rPr>
          <w:rFonts w:asciiTheme="minorHAnsi" w:hAnsiTheme="minorHAnsi" w:cstheme="minorHAnsi"/>
          <w:sz w:val="22"/>
          <w:szCs w:val="22"/>
          <w:lang w:val="de-DE"/>
        </w:rPr>
        <w:t>VersR</w:t>
      </w:r>
      <w:r w:rsidR="00AF3F2C">
        <w:rPr>
          <w:rFonts w:asciiTheme="minorHAnsi" w:hAnsiTheme="minorHAnsi" w:cstheme="minorHAnsi"/>
          <w:sz w:val="22"/>
          <w:szCs w:val="22"/>
          <w:lang w:val="de-DE"/>
        </w:rPr>
        <w:t>)</w:t>
      </w:r>
      <w:r w:rsidR="003073E0" w:rsidRPr="00C354CE">
        <w:rPr>
          <w:rFonts w:asciiTheme="minorHAnsi" w:hAnsiTheme="minorHAnsi" w:cstheme="minorHAnsi"/>
          <w:sz w:val="22"/>
          <w:szCs w:val="22"/>
          <w:lang w:val="de-DE"/>
        </w:rPr>
        <w:t xml:space="preserve"> 2016, p. 786.</w:t>
      </w:r>
    </w:p>
  </w:footnote>
  <w:footnote w:id="13">
    <w:p w14:paraId="3D6BA188" w14:textId="3A1C096C" w:rsidR="00BC5570" w:rsidRPr="009C5888" w:rsidRDefault="00BC5570" w:rsidP="00BC5570">
      <w:pPr>
        <w:pStyle w:val="Footnote"/>
        <w:rPr>
          <w:rFonts w:ascii="Calibri" w:hAnsi="Calibri" w:cs="Calibri"/>
          <w:sz w:val="22"/>
          <w:szCs w:val="22"/>
          <w:lang w:val="de-DE"/>
        </w:rPr>
      </w:pPr>
      <w:r w:rsidRPr="00C354CE">
        <w:rPr>
          <w:rFonts w:asciiTheme="minorHAnsi" w:hAnsiTheme="minorHAnsi" w:cstheme="minorHAnsi"/>
          <w:sz w:val="22"/>
          <w:szCs w:val="22"/>
          <w:vertAlign w:val="superscript"/>
        </w:rPr>
        <w:footnoteRef/>
      </w:r>
      <w:r w:rsidRPr="009C5888">
        <w:rPr>
          <w:rFonts w:asciiTheme="minorHAnsi" w:hAnsiTheme="minorHAnsi" w:cstheme="minorHAnsi"/>
          <w:sz w:val="22"/>
          <w:szCs w:val="22"/>
          <w:lang w:val="de-DE"/>
        </w:rPr>
        <w:t xml:space="preserve"> </w:t>
      </w:r>
      <w:r w:rsidR="00A31FFF" w:rsidRPr="009C5888">
        <w:rPr>
          <w:rFonts w:asciiTheme="minorHAnsi" w:hAnsiTheme="minorHAnsi" w:cstheme="minorHAnsi"/>
          <w:sz w:val="22"/>
          <w:szCs w:val="22"/>
          <w:lang w:val="de-DE"/>
        </w:rPr>
        <w:t>See Armbrüster</w:t>
      </w:r>
      <w:r w:rsidR="009C5888" w:rsidRPr="009C5888">
        <w:rPr>
          <w:rFonts w:asciiTheme="minorHAnsi" w:hAnsiTheme="minorHAnsi" w:cstheme="minorHAnsi"/>
          <w:sz w:val="22"/>
          <w:szCs w:val="22"/>
          <w:lang w:val="de-DE"/>
        </w:rPr>
        <w:t>, Prozessuale Besonderheiten in der Haftpflichtversicherung</w:t>
      </w:r>
      <w:r w:rsidR="009C5888">
        <w:rPr>
          <w:rFonts w:asciiTheme="minorHAnsi" w:hAnsiTheme="minorHAnsi" w:cstheme="minorHAnsi"/>
          <w:sz w:val="22"/>
          <w:szCs w:val="22"/>
          <w:lang w:val="de-DE"/>
        </w:rPr>
        <w:t>,</w:t>
      </w:r>
      <w:r w:rsidR="00A31FFF" w:rsidRPr="009C5888">
        <w:rPr>
          <w:rFonts w:asciiTheme="minorHAnsi" w:hAnsiTheme="minorHAnsi" w:cstheme="minorHAnsi"/>
          <w:sz w:val="22"/>
          <w:szCs w:val="22"/>
          <w:lang w:val="de-DE"/>
        </w:rPr>
        <w:t xml:space="preserve"> r+s 2010, pp. 441, 448; Schimmer</w:t>
      </w:r>
      <w:r w:rsidR="009C5888">
        <w:rPr>
          <w:rFonts w:asciiTheme="minorHAnsi" w:hAnsiTheme="minorHAnsi" w:cstheme="minorHAnsi"/>
          <w:sz w:val="22"/>
          <w:szCs w:val="22"/>
          <w:lang w:val="de-DE"/>
        </w:rPr>
        <w:t xml:space="preserve">, </w:t>
      </w:r>
      <w:r w:rsidR="009C5888" w:rsidRPr="009C5888">
        <w:rPr>
          <w:rFonts w:asciiTheme="minorHAnsi" w:hAnsiTheme="minorHAnsi" w:cstheme="minorHAnsi"/>
          <w:sz w:val="22"/>
          <w:szCs w:val="22"/>
          <w:lang w:val="de-DE"/>
        </w:rPr>
        <w:t>Die D&amp;O-Versicherung und §§ 105 und 108 Abs. 2 VVG 2008 - kann die Versicherungsnehmerin „geschädigte“ Dritte sein?</w:t>
      </w:r>
      <w:r w:rsidR="009C5888">
        <w:rPr>
          <w:rFonts w:asciiTheme="minorHAnsi" w:hAnsiTheme="minorHAnsi" w:cstheme="minorHAnsi"/>
          <w:sz w:val="22"/>
          <w:szCs w:val="22"/>
          <w:lang w:val="de-DE"/>
        </w:rPr>
        <w:t>,</w:t>
      </w:r>
      <w:r w:rsidR="00A31FFF" w:rsidRPr="009C5888">
        <w:rPr>
          <w:rFonts w:asciiTheme="minorHAnsi" w:hAnsiTheme="minorHAnsi" w:cstheme="minorHAnsi"/>
          <w:sz w:val="22"/>
          <w:szCs w:val="22"/>
          <w:lang w:val="de-DE"/>
        </w:rPr>
        <w:t xml:space="preserve"> VersR 2008, pp. 875, 878 et seq.</w:t>
      </w:r>
      <w:r w:rsidR="006A3530" w:rsidRPr="009C5888">
        <w:rPr>
          <w:rFonts w:asciiTheme="minorHAnsi" w:hAnsiTheme="minorHAnsi" w:cstheme="minorHAnsi"/>
          <w:sz w:val="22"/>
          <w:szCs w:val="22"/>
          <w:lang w:val="de-DE"/>
        </w:rPr>
        <w:t>; for a different view see Baumann</w:t>
      </w:r>
      <w:r w:rsidR="009C5888">
        <w:rPr>
          <w:rFonts w:asciiTheme="minorHAnsi" w:hAnsiTheme="minorHAnsi" w:cstheme="minorHAnsi"/>
          <w:sz w:val="22"/>
          <w:szCs w:val="22"/>
          <w:lang w:val="de-DE"/>
        </w:rPr>
        <w:t xml:space="preserve">, </w:t>
      </w:r>
      <w:r w:rsidR="009C5888" w:rsidRPr="009C5888">
        <w:rPr>
          <w:rFonts w:asciiTheme="minorHAnsi" w:hAnsiTheme="minorHAnsi" w:cstheme="minorHAnsi"/>
          <w:sz w:val="22"/>
          <w:szCs w:val="22"/>
          <w:lang w:val="de-DE"/>
        </w:rPr>
        <w:t>Die Problematik der Abtretbarkeit von Freistellungsansprüchen in der D&amp;O-Versicherung – insbesondere an die geschädigte Versicherungsnehmerin - – Zugleich Grundsatzbetrachtungen zu § 108 Abs. 2 VVG –</w:t>
      </w:r>
      <w:r w:rsidR="009C5888">
        <w:rPr>
          <w:rFonts w:asciiTheme="minorHAnsi" w:hAnsiTheme="minorHAnsi" w:cstheme="minorHAnsi"/>
          <w:sz w:val="22"/>
          <w:szCs w:val="22"/>
          <w:lang w:val="de-DE"/>
        </w:rPr>
        <w:t>,</w:t>
      </w:r>
      <w:r w:rsidR="006A3530" w:rsidRPr="009C5888">
        <w:rPr>
          <w:rFonts w:asciiTheme="minorHAnsi" w:hAnsiTheme="minorHAnsi" w:cstheme="minorHAnsi"/>
          <w:sz w:val="22"/>
          <w:szCs w:val="22"/>
          <w:lang w:val="de-DE"/>
        </w:rPr>
        <w:t xml:space="preserve"> r+s 2011, pp. 229, 230 ff.; </w:t>
      </w:r>
      <w:r w:rsidR="00D4634C" w:rsidRPr="009C5888">
        <w:rPr>
          <w:rFonts w:asciiTheme="minorHAnsi" w:hAnsiTheme="minorHAnsi" w:cstheme="minorHAnsi"/>
          <w:sz w:val="22"/>
          <w:szCs w:val="22"/>
          <w:lang w:val="de-DE"/>
        </w:rPr>
        <w:t xml:space="preserve">R. </w:t>
      </w:r>
      <w:r w:rsidR="006A3530" w:rsidRPr="009C5888">
        <w:rPr>
          <w:rFonts w:asciiTheme="minorHAnsi" w:hAnsiTheme="minorHAnsi" w:cstheme="minorHAnsi"/>
          <w:sz w:val="22"/>
          <w:szCs w:val="22"/>
          <w:lang w:val="de-DE"/>
        </w:rPr>
        <w:t>Koch</w:t>
      </w:r>
      <w:r w:rsidR="009C5888">
        <w:rPr>
          <w:rFonts w:asciiTheme="minorHAnsi" w:hAnsiTheme="minorHAnsi" w:cstheme="minorHAnsi"/>
          <w:sz w:val="22"/>
          <w:szCs w:val="22"/>
          <w:lang w:val="de-DE"/>
        </w:rPr>
        <w:t xml:space="preserve">, </w:t>
      </w:r>
      <w:r w:rsidR="009C5888" w:rsidRPr="009C5888">
        <w:rPr>
          <w:rFonts w:asciiTheme="minorHAnsi" w:hAnsiTheme="minorHAnsi" w:cstheme="minorHAnsi"/>
          <w:sz w:val="22"/>
          <w:szCs w:val="22"/>
          <w:lang w:val="de-DE"/>
        </w:rPr>
        <w:t>Der Direktanspruch in der Haftpflichtversicherung</w:t>
      </w:r>
      <w:r w:rsidR="009C5888">
        <w:rPr>
          <w:rFonts w:asciiTheme="minorHAnsi" w:hAnsiTheme="minorHAnsi" w:cstheme="minorHAnsi"/>
          <w:sz w:val="22"/>
          <w:szCs w:val="22"/>
          <w:lang w:val="de-DE"/>
        </w:rPr>
        <w:t>,</w:t>
      </w:r>
      <w:r w:rsidR="006A3530" w:rsidRPr="009C5888">
        <w:rPr>
          <w:rFonts w:asciiTheme="minorHAnsi" w:hAnsiTheme="minorHAnsi" w:cstheme="minorHAnsi"/>
          <w:sz w:val="22"/>
          <w:szCs w:val="22"/>
          <w:lang w:val="de-DE"/>
        </w:rPr>
        <w:t xml:space="preserve"> r+s 2009, pp. 133, 135 et seq.; Lange</w:t>
      </w:r>
      <w:r w:rsidR="009C5888">
        <w:rPr>
          <w:rFonts w:asciiTheme="minorHAnsi" w:hAnsiTheme="minorHAnsi" w:cstheme="minorHAnsi"/>
          <w:sz w:val="22"/>
          <w:szCs w:val="22"/>
          <w:lang w:val="de-DE"/>
        </w:rPr>
        <w:t xml:space="preserve">, </w:t>
      </w:r>
      <w:r w:rsidR="009C5888" w:rsidRPr="009C5888">
        <w:rPr>
          <w:rFonts w:asciiTheme="minorHAnsi" w:hAnsiTheme="minorHAnsi" w:cstheme="minorHAnsi"/>
          <w:sz w:val="22"/>
          <w:szCs w:val="22"/>
          <w:lang w:val="de-DE"/>
        </w:rPr>
        <w:t>Der Direktanspruch gegen den Haftpflichtversicherer (am Beispiel der D&amp;O-Versicherung)</w:t>
      </w:r>
      <w:r w:rsidR="009C5888">
        <w:rPr>
          <w:rFonts w:asciiTheme="minorHAnsi" w:hAnsiTheme="minorHAnsi" w:cstheme="minorHAnsi"/>
          <w:sz w:val="22"/>
          <w:szCs w:val="22"/>
          <w:lang w:val="de-DE"/>
        </w:rPr>
        <w:t>,</w:t>
      </w:r>
      <w:r w:rsidR="006A3530" w:rsidRPr="009C5888">
        <w:rPr>
          <w:rFonts w:asciiTheme="minorHAnsi" w:hAnsiTheme="minorHAnsi" w:cstheme="minorHAnsi"/>
          <w:sz w:val="22"/>
          <w:szCs w:val="22"/>
          <w:lang w:val="de-DE"/>
        </w:rPr>
        <w:t xml:space="preserve"> r+s 2011, pp. 185, 187.</w:t>
      </w:r>
    </w:p>
  </w:footnote>
  <w:footnote w:id="14">
    <w:p w14:paraId="3B8C72A3" w14:textId="2D49E27B" w:rsidR="00285DC0" w:rsidRPr="00A31FFF" w:rsidRDefault="00285DC0" w:rsidP="00285DC0">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A31FFF">
        <w:rPr>
          <w:rFonts w:ascii="Calibri" w:hAnsi="Calibri" w:cs="Calibri"/>
          <w:sz w:val="22"/>
          <w:szCs w:val="22"/>
          <w:lang w:val="de-DE"/>
        </w:rPr>
        <w:t xml:space="preserve"> </w:t>
      </w:r>
      <w:r w:rsidR="006A3530" w:rsidRPr="003073E0">
        <w:rPr>
          <w:rFonts w:ascii="Calibri" w:hAnsi="Calibri" w:cs="Calibri"/>
          <w:sz w:val="22"/>
          <w:szCs w:val="22"/>
          <w:lang w:val="de-DE"/>
        </w:rPr>
        <w:t>BGH, 13</w:t>
      </w:r>
      <w:r w:rsidR="00A52463">
        <w:rPr>
          <w:rFonts w:ascii="Calibri" w:hAnsi="Calibri" w:cs="Calibri"/>
          <w:sz w:val="22"/>
          <w:szCs w:val="22"/>
          <w:lang w:val="de-DE"/>
        </w:rPr>
        <w:t xml:space="preserve"> April </w:t>
      </w:r>
      <w:r w:rsidR="006A3530" w:rsidRPr="003073E0">
        <w:rPr>
          <w:rFonts w:ascii="Calibri" w:hAnsi="Calibri" w:cs="Calibri"/>
          <w:sz w:val="22"/>
          <w:szCs w:val="22"/>
          <w:lang w:val="de-DE"/>
        </w:rPr>
        <w:t>2016 – IV ZR 304/13, VersR 2016, p. 7</w:t>
      </w:r>
      <w:r w:rsidR="006A3530">
        <w:rPr>
          <w:rFonts w:ascii="Calibri" w:hAnsi="Calibri" w:cs="Calibri"/>
          <w:sz w:val="22"/>
          <w:szCs w:val="22"/>
          <w:lang w:val="de-DE"/>
        </w:rPr>
        <w:t>86 n. 20 et seq.</w:t>
      </w:r>
    </w:p>
  </w:footnote>
  <w:footnote w:id="15">
    <w:p w14:paraId="30DB3BF8" w14:textId="4FA9A4CD" w:rsidR="00285DC0" w:rsidRPr="00016D1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016D10">
        <w:rPr>
          <w:rFonts w:ascii="Calibri" w:hAnsi="Calibri" w:cs="Calibri"/>
          <w:sz w:val="22"/>
          <w:szCs w:val="22"/>
        </w:rPr>
        <w:t xml:space="preserve"> </w:t>
      </w:r>
      <w:r w:rsidR="00016D10" w:rsidRPr="00016D10">
        <w:rPr>
          <w:rFonts w:ascii="Calibri" w:hAnsi="Calibri" w:cs="Calibri"/>
          <w:sz w:val="22"/>
          <w:szCs w:val="22"/>
        </w:rPr>
        <w:t>J. Koch, 20th ed. 2026, AktG § 93 n 103; MüKoAktG/Spindler, 6th ed. 2023, AktG § 93 n. 225.</w:t>
      </w:r>
    </w:p>
  </w:footnote>
  <w:footnote w:id="16">
    <w:p w14:paraId="50B9185F" w14:textId="40E8192D" w:rsidR="00285DC0" w:rsidRPr="00016D10" w:rsidRDefault="00285DC0" w:rsidP="00285DC0">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016D10">
        <w:rPr>
          <w:rFonts w:ascii="Calibri" w:hAnsi="Calibri" w:cs="Calibri"/>
          <w:sz w:val="22"/>
          <w:szCs w:val="22"/>
          <w:lang w:val="de-DE"/>
        </w:rPr>
        <w:t xml:space="preserve"> </w:t>
      </w:r>
      <w:r w:rsidR="00016D10">
        <w:rPr>
          <w:rFonts w:ascii="Calibri" w:hAnsi="Calibri" w:cs="Calibri"/>
          <w:sz w:val="22"/>
          <w:szCs w:val="22"/>
          <w:lang w:val="de-DE"/>
        </w:rPr>
        <w:t xml:space="preserve">BGH, </w:t>
      </w:r>
      <w:r w:rsidR="00016D10" w:rsidRPr="00016D10">
        <w:rPr>
          <w:rFonts w:ascii="Calibri" w:hAnsi="Calibri" w:cs="Calibri"/>
          <w:sz w:val="22"/>
          <w:szCs w:val="22"/>
          <w:lang w:val="de-DE"/>
        </w:rPr>
        <w:t>4</w:t>
      </w:r>
      <w:r w:rsidR="00016D10">
        <w:rPr>
          <w:rFonts w:ascii="Calibri" w:hAnsi="Calibri" w:cs="Calibri"/>
          <w:sz w:val="22"/>
          <w:szCs w:val="22"/>
          <w:lang w:val="de-DE"/>
        </w:rPr>
        <w:t xml:space="preserve"> November</w:t>
      </w:r>
      <w:r w:rsidR="00016D10" w:rsidRPr="00016D10">
        <w:rPr>
          <w:rFonts w:ascii="Calibri" w:hAnsi="Calibri" w:cs="Calibri"/>
          <w:sz w:val="22"/>
          <w:szCs w:val="22"/>
          <w:lang w:val="de-DE"/>
        </w:rPr>
        <w:t xml:space="preserve"> 2002 </w:t>
      </w:r>
      <w:r w:rsidR="00016D10">
        <w:rPr>
          <w:rFonts w:ascii="Calibri" w:hAnsi="Calibri" w:cs="Calibri"/>
          <w:sz w:val="22"/>
          <w:szCs w:val="22"/>
          <w:lang w:val="de-DE"/>
        </w:rPr>
        <w:t>–</w:t>
      </w:r>
      <w:r w:rsidR="00016D10" w:rsidRPr="00016D10">
        <w:rPr>
          <w:rFonts w:ascii="Calibri" w:hAnsi="Calibri" w:cs="Calibri"/>
          <w:sz w:val="22"/>
          <w:szCs w:val="22"/>
          <w:lang w:val="de-DE"/>
        </w:rPr>
        <w:t xml:space="preserve"> II ZR 224/00</w:t>
      </w:r>
      <w:r w:rsidR="00016D10">
        <w:rPr>
          <w:rFonts w:ascii="Calibri" w:hAnsi="Calibri" w:cs="Calibri"/>
          <w:sz w:val="22"/>
          <w:szCs w:val="22"/>
          <w:lang w:val="de-DE"/>
        </w:rPr>
        <w:t>,</w:t>
      </w:r>
      <w:r w:rsidR="00016D10" w:rsidRPr="00016D10">
        <w:rPr>
          <w:rFonts w:ascii="Calibri" w:hAnsi="Calibri" w:cs="Calibri"/>
          <w:sz w:val="22"/>
          <w:szCs w:val="22"/>
          <w:lang w:val="de-DE"/>
        </w:rPr>
        <w:t xml:space="preserve"> BGHZ 152, </w:t>
      </w:r>
      <w:r w:rsidR="00016D10">
        <w:rPr>
          <w:rFonts w:ascii="Calibri" w:hAnsi="Calibri" w:cs="Calibri"/>
          <w:sz w:val="22"/>
          <w:szCs w:val="22"/>
          <w:lang w:val="de-DE"/>
        </w:rPr>
        <w:t xml:space="preserve">pp. </w:t>
      </w:r>
      <w:r w:rsidR="00016D10" w:rsidRPr="00016D10">
        <w:rPr>
          <w:rFonts w:ascii="Calibri" w:hAnsi="Calibri" w:cs="Calibri"/>
          <w:sz w:val="22"/>
          <w:szCs w:val="22"/>
          <w:lang w:val="de-DE"/>
        </w:rPr>
        <w:t>280</w:t>
      </w:r>
      <w:r w:rsidR="00016D10">
        <w:rPr>
          <w:rFonts w:ascii="Calibri" w:hAnsi="Calibri" w:cs="Calibri"/>
          <w:sz w:val="22"/>
          <w:szCs w:val="22"/>
          <w:lang w:val="de-DE"/>
        </w:rPr>
        <w:t>, 283.</w:t>
      </w:r>
    </w:p>
  </w:footnote>
  <w:footnote w:id="17">
    <w:p w14:paraId="06C5EE24" w14:textId="462F8113" w:rsidR="00285DC0" w:rsidRPr="00990D5B" w:rsidRDefault="00285DC0" w:rsidP="009C5888">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990D5B">
        <w:rPr>
          <w:rFonts w:ascii="Calibri" w:hAnsi="Calibri" w:cs="Calibri"/>
          <w:sz w:val="22"/>
          <w:szCs w:val="22"/>
          <w:lang w:val="de-DE"/>
        </w:rPr>
        <w:t xml:space="preserve"> </w:t>
      </w:r>
      <w:r w:rsidR="00990D5B" w:rsidRPr="00990D5B">
        <w:rPr>
          <w:rFonts w:ascii="Calibri" w:hAnsi="Calibri" w:cs="Calibri"/>
          <w:sz w:val="22"/>
          <w:szCs w:val="22"/>
          <w:lang w:val="de-DE"/>
        </w:rPr>
        <w:t xml:space="preserve">Armbrüster in </w:t>
      </w:r>
      <w:r w:rsidR="00990D5B">
        <w:rPr>
          <w:rFonts w:ascii="Calibri" w:hAnsi="Calibri" w:cs="Calibri"/>
          <w:sz w:val="22"/>
          <w:szCs w:val="22"/>
          <w:lang w:val="de-DE"/>
        </w:rPr>
        <w:t>Beckmann/R. Koch (</w:t>
      </w:r>
      <w:r w:rsidR="0009785C">
        <w:rPr>
          <w:rFonts w:ascii="Calibri" w:hAnsi="Calibri" w:cs="Calibri"/>
          <w:sz w:val="22"/>
          <w:szCs w:val="22"/>
          <w:lang w:val="de-DE"/>
        </w:rPr>
        <w:t>eds.)</w:t>
      </w:r>
      <w:r w:rsidR="00990D5B">
        <w:rPr>
          <w:rFonts w:ascii="Calibri" w:hAnsi="Calibri" w:cs="Calibri"/>
          <w:sz w:val="22"/>
          <w:szCs w:val="22"/>
          <w:lang w:val="de-DE"/>
        </w:rPr>
        <w:t xml:space="preserve">, </w:t>
      </w:r>
      <w:r w:rsidR="00990D5B" w:rsidRPr="00990D5B">
        <w:rPr>
          <w:rFonts w:ascii="Calibri" w:hAnsi="Calibri" w:cs="Calibri"/>
          <w:sz w:val="22"/>
          <w:szCs w:val="22"/>
          <w:lang w:val="de-DE"/>
        </w:rPr>
        <w:t xml:space="preserve">Bruck/Möller, </w:t>
      </w:r>
      <w:r w:rsidR="00990D5B">
        <w:rPr>
          <w:rFonts w:ascii="Calibri" w:hAnsi="Calibri" w:cs="Calibri"/>
          <w:sz w:val="22"/>
          <w:szCs w:val="22"/>
          <w:lang w:val="de-DE"/>
        </w:rPr>
        <w:t xml:space="preserve">Großkommentar zum </w:t>
      </w:r>
      <w:r w:rsidR="00990D5B" w:rsidRPr="00990D5B">
        <w:rPr>
          <w:rFonts w:ascii="Calibri" w:hAnsi="Calibri" w:cs="Calibri"/>
          <w:sz w:val="22"/>
          <w:szCs w:val="22"/>
          <w:lang w:val="de-DE"/>
        </w:rPr>
        <w:t xml:space="preserve">VVG, 10. </w:t>
      </w:r>
      <w:r w:rsidR="00990D5B">
        <w:rPr>
          <w:rFonts w:ascii="Calibri" w:hAnsi="Calibri" w:cs="Calibri"/>
          <w:sz w:val="22"/>
          <w:szCs w:val="22"/>
          <w:lang w:val="de-DE"/>
        </w:rPr>
        <w:t>ed.</w:t>
      </w:r>
      <w:r w:rsidR="00990D5B" w:rsidRPr="00990D5B">
        <w:rPr>
          <w:rFonts w:ascii="Calibri" w:hAnsi="Calibri" w:cs="Calibri"/>
          <w:sz w:val="22"/>
          <w:szCs w:val="22"/>
          <w:lang w:val="de-DE"/>
        </w:rPr>
        <w:t xml:space="preserve"> 2021, A-9 </w:t>
      </w:r>
      <w:r w:rsidR="00990D5B">
        <w:rPr>
          <w:rFonts w:ascii="Calibri" w:hAnsi="Calibri" w:cs="Calibri"/>
          <w:sz w:val="22"/>
          <w:szCs w:val="22"/>
          <w:lang w:val="de-DE"/>
        </w:rPr>
        <w:t>n.</w:t>
      </w:r>
      <w:r w:rsidR="00990D5B" w:rsidRPr="00990D5B">
        <w:rPr>
          <w:rFonts w:ascii="Calibri" w:hAnsi="Calibri" w:cs="Calibri"/>
          <w:sz w:val="22"/>
          <w:szCs w:val="22"/>
          <w:lang w:val="de-DE"/>
        </w:rPr>
        <w:t xml:space="preserve"> 34; Brinkmann</w:t>
      </w:r>
      <w:r w:rsidR="009C5888">
        <w:rPr>
          <w:rFonts w:ascii="Calibri" w:hAnsi="Calibri" w:cs="Calibri"/>
          <w:sz w:val="22"/>
          <w:szCs w:val="22"/>
          <w:lang w:val="de-DE"/>
        </w:rPr>
        <w:t xml:space="preserve">, </w:t>
      </w:r>
      <w:r w:rsidR="009C5888" w:rsidRPr="009C5888">
        <w:rPr>
          <w:rFonts w:ascii="Calibri" w:hAnsi="Calibri" w:cs="Calibri"/>
          <w:sz w:val="22"/>
          <w:szCs w:val="22"/>
          <w:lang w:val="de-DE"/>
        </w:rPr>
        <w:t>Die prozessualen Konsequenzen der Abtretung des Freistellungsanspruchs aus einer D&amp;O-Versicherung</w:t>
      </w:r>
      <w:r w:rsidR="009C5888">
        <w:rPr>
          <w:rFonts w:ascii="Calibri" w:hAnsi="Calibri" w:cs="Calibri"/>
          <w:sz w:val="22"/>
          <w:szCs w:val="22"/>
          <w:lang w:val="de-DE"/>
        </w:rPr>
        <w:t>,</w:t>
      </w:r>
      <w:r w:rsidR="00990D5B">
        <w:rPr>
          <w:rFonts w:ascii="Calibri" w:hAnsi="Calibri" w:cs="Calibri"/>
          <w:sz w:val="22"/>
          <w:szCs w:val="22"/>
          <w:lang w:val="de-DE"/>
        </w:rPr>
        <w:t xml:space="preserve"> </w:t>
      </w:r>
      <w:r w:rsidR="00AF3F2C">
        <w:rPr>
          <w:rFonts w:ascii="Calibri" w:hAnsi="Calibri" w:cs="Calibri"/>
          <w:sz w:val="22"/>
          <w:szCs w:val="22"/>
          <w:lang w:val="de-DE"/>
        </w:rPr>
        <w:t>Zeitschrift für Wirtschaftsrecht (</w:t>
      </w:r>
      <w:r w:rsidR="00990D5B" w:rsidRPr="00990D5B">
        <w:rPr>
          <w:rFonts w:ascii="Calibri" w:hAnsi="Calibri" w:cs="Calibri"/>
          <w:sz w:val="22"/>
          <w:szCs w:val="22"/>
          <w:lang w:val="de-DE"/>
        </w:rPr>
        <w:t>ZIP</w:t>
      </w:r>
      <w:r w:rsidR="00AF3F2C">
        <w:rPr>
          <w:rFonts w:ascii="Calibri" w:hAnsi="Calibri" w:cs="Calibri"/>
          <w:sz w:val="22"/>
          <w:szCs w:val="22"/>
          <w:lang w:val="de-DE"/>
        </w:rPr>
        <w:t>)</w:t>
      </w:r>
      <w:r w:rsidR="00990D5B" w:rsidRPr="00990D5B">
        <w:rPr>
          <w:rFonts w:ascii="Calibri" w:hAnsi="Calibri" w:cs="Calibri"/>
          <w:sz w:val="22"/>
          <w:szCs w:val="22"/>
          <w:lang w:val="de-DE"/>
        </w:rPr>
        <w:t xml:space="preserve"> 2017, </w:t>
      </w:r>
      <w:r w:rsidR="00990D5B">
        <w:rPr>
          <w:rFonts w:ascii="Calibri" w:hAnsi="Calibri" w:cs="Calibri"/>
          <w:sz w:val="22"/>
          <w:szCs w:val="22"/>
          <w:lang w:val="de-DE"/>
        </w:rPr>
        <w:t xml:space="preserve">pp. </w:t>
      </w:r>
      <w:r w:rsidR="00990D5B" w:rsidRPr="00990D5B">
        <w:rPr>
          <w:rFonts w:ascii="Calibri" w:hAnsi="Calibri" w:cs="Calibri"/>
          <w:sz w:val="22"/>
          <w:szCs w:val="22"/>
          <w:lang w:val="de-DE"/>
        </w:rPr>
        <w:t xml:space="preserve">301, 306 </w:t>
      </w:r>
      <w:r w:rsidR="00990D5B">
        <w:rPr>
          <w:rFonts w:ascii="Calibri" w:hAnsi="Calibri" w:cs="Calibri"/>
          <w:sz w:val="22"/>
          <w:szCs w:val="22"/>
          <w:lang w:val="de-DE"/>
        </w:rPr>
        <w:t>et seq.</w:t>
      </w:r>
      <w:r w:rsidR="00990D5B" w:rsidRPr="00990D5B">
        <w:rPr>
          <w:rFonts w:ascii="Calibri" w:hAnsi="Calibri" w:cs="Calibri"/>
          <w:sz w:val="22"/>
          <w:szCs w:val="22"/>
          <w:lang w:val="de-DE"/>
        </w:rPr>
        <w:t>; Dreher/Thomas</w:t>
      </w:r>
      <w:r w:rsidR="009C5888">
        <w:rPr>
          <w:rFonts w:ascii="Calibri" w:hAnsi="Calibri" w:cs="Calibri"/>
          <w:sz w:val="22"/>
          <w:szCs w:val="22"/>
          <w:lang w:val="de-DE"/>
        </w:rPr>
        <w:t xml:space="preserve">, </w:t>
      </w:r>
      <w:r w:rsidR="009C5888" w:rsidRPr="009C5888">
        <w:rPr>
          <w:rFonts w:ascii="Calibri" w:hAnsi="Calibri" w:cs="Calibri"/>
          <w:sz w:val="22"/>
          <w:szCs w:val="22"/>
          <w:lang w:val="de-DE"/>
        </w:rPr>
        <w:t>Die D&amp;O-Versicherung nach der VVG-Novelle 2008</w:t>
      </w:r>
      <w:r w:rsidR="009C5888">
        <w:rPr>
          <w:rFonts w:ascii="Calibri" w:hAnsi="Calibri" w:cs="Calibri"/>
          <w:sz w:val="22"/>
          <w:szCs w:val="22"/>
          <w:lang w:val="de-DE"/>
        </w:rPr>
        <w:t>,</w:t>
      </w:r>
      <w:r w:rsidR="00990D5B">
        <w:rPr>
          <w:rFonts w:ascii="Calibri" w:hAnsi="Calibri" w:cs="Calibri"/>
          <w:sz w:val="22"/>
          <w:szCs w:val="22"/>
          <w:lang w:val="de-DE"/>
        </w:rPr>
        <w:t xml:space="preserve"> </w:t>
      </w:r>
      <w:r w:rsidR="00AF3F2C" w:rsidRPr="00AF3F2C">
        <w:rPr>
          <w:rFonts w:ascii="Calibri" w:hAnsi="Calibri" w:cs="Calibri"/>
          <w:sz w:val="22"/>
          <w:szCs w:val="22"/>
          <w:lang w:val="de-DE"/>
        </w:rPr>
        <w:t xml:space="preserve">Zeitschrift für Unternehmens- und Gesellschaftsrecht </w:t>
      </w:r>
      <w:r w:rsidR="00AF3F2C">
        <w:rPr>
          <w:rFonts w:ascii="Calibri" w:hAnsi="Calibri" w:cs="Calibri"/>
          <w:sz w:val="22"/>
          <w:szCs w:val="22"/>
          <w:lang w:val="de-DE"/>
        </w:rPr>
        <w:t>(</w:t>
      </w:r>
      <w:r w:rsidR="00990D5B" w:rsidRPr="00990D5B">
        <w:rPr>
          <w:rFonts w:ascii="Calibri" w:hAnsi="Calibri" w:cs="Calibri"/>
          <w:sz w:val="22"/>
          <w:szCs w:val="22"/>
          <w:lang w:val="de-DE"/>
        </w:rPr>
        <w:t>ZGR</w:t>
      </w:r>
      <w:r w:rsidR="00AF3F2C">
        <w:rPr>
          <w:rFonts w:ascii="Calibri" w:hAnsi="Calibri" w:cs="Calibri"/>
          <w:sz w:val="22"/>
          <w:szCs w:val="22"/>
          <w:lang w:val="de-DE"/>
        </w:rPr>
        <w:t>)</w:t>
      </w:r>
      <w:r w:rsidR="00990D5B" w:rsidRPr="00990D5B">
        <w:rPr>
          <w:rFonts w:ascii="Calibri" w:hAnsi="Calibri" w:cs="Calibri"/>
          <w:sz w:val="22"/>
          <w:szCs w:val="22"/>
          <w:lang w:val="de-DE"/>
        </w:rPr>
        <w:t xml:space="preserve"> 2009, </w:t>
      </w:r>
      <w:r w:rsidR="00990D5B">
        <w:rPr>
          <w:rFonts w:ascii="Calibri" w:hAnsi="Calibri" w:cs="Calibri"/>
          <w:sz w:val="22"/>
          <w:szCs w:val="22"/>
          <w:lang w:val="de-DE"/>
        </w:rPr>
        <w:t xml:space="preserve">pp. </w:t>
      </w:r>
      <w:r w:rsidR="00990D5B" w:rsidRPr="00990D5B">
        <w:rPr>
          <w:rFonts w:ascii="Calibri" w:hAnsi="Calibri" w:cs="Calibri"/>
          <w:sz w:val="22"/>
          <w:szCs w:val="22"/>
          <w:lang w:val="de-DE"/>
        </w:rPr>
        <w:t xml:space="preserve">31, 43 </w:t>
      </w:r>
      <w:r w:rsidR="00990D5B">
        <w:rPr>
          <w:rFonts w:ascii="Calibri" w:hAnsi="Calibri" w:cs="Calibri"/>
          <w:sz w:val="22"/>
          <w:szCs w:val="22"/>
          <w:lang w:val="de-DE"/>
        </w:rPr>
        <w:t>et seq.</w:t>
      </w:r>
      <w:r w:rsidR="007C119C">
        <w:rPr>
          <w:rFonts w:ascii="Calibri" w:hAnsi="Calibri" w:cs="Calibri"/>
          <w:sz w:val="22"/>
          <w:szCs w:val="22"/>
          <w:lang w:val="de-DE"/>
        </w:rPr>
        <w:t xml:space="preserve">; for a different view see </w:t>
      </w:r>
      <w:r w:rsidR="007C119C" w:rsidRPr="007C119C">
        <w:rPr>
          <w:rFonts w:ascii="Calibri" w:hAnsi="Calibri" w:cs="Calibri"/>
          <w:sz w:val="22"/>
          <w:szCs w:val="22"/>
          <w:lang w:val="de-DE"/>
        </w:rPr>
        <w:t xml:space="preserve">Voit in Prölss/Martin, VVG, AVB A-9 </w:t>
      </w:r>
      <w:r w:rsidR="00AF3F2C">
        <w:rPr>
          <w:rFonts w:ascii="Calibri" w:hAnsi="Calibri" w:cs="Calibri"/>
          <w:sz w:val="22"/>
          <w:szCs w:val="22"/>
          <w:lang w:val="de-DE"/>
        </w:rPr>
        <w:t>n.</w:t>
      </w:r>
      <w:r w:rsidR="007C119C" w:rsidRPr="007C119C">
        <w:rPr>
          <w:rFonts w:ascii="Calibri" w:hAnsi="Calibri" w:cs="Calibri"/>
          <w:sz w:val="22"/>
          <w:szCs w:val="22"/>
          <w:lang w:val="de-DE"/>
        </w:rPr>
        <w:t xml:space="preserve"> 2; Harzenetter</w:t>
      </w:r>
      <w:r w:rsidR="009C5888">
        <w:rPr>
          <w:rFonts w:ascii="Calibri" w:hAnsi="Calibri" w:cs="Calibri"/>
          <w:sz w:val="22"/>
          <w:szCs w:val="22"/>
          <w:lang w:val="de-DE"/>
        </w:rPr>
        <w:t xml:space="preserve">, </w:t>
      </w:r>
      <w:r w:rsidR="009C5888" w:rsidRPr="009C5888">
        <w:rPr>
          <w:rFonts w:ascii="Calibri" w:hAnsi="Calibri" w:cs="Calibri"/>
          <w:sz w:val="22"/>
          <w:szCs w:val="22"/>
          <w:lang w:val="de-DE"/>
        </w:rPr>
        <w:t>Abtretung des Freistellungsanspruchs aus einer D&amp;O-Versicherung nach den BGH-Urteilen vom BGH 13.4.2016</w:t>
      </w:r>
      <w:r w:rsidR="009C5888">
        <w:rPr>
          <w:rFonts w:ascii="Calibri" w:hAnsi="Calibri" w:cs="Calibri"/>
          <w:sz w:val="22"/>
          <w:szCs w:val="22"/>
          <w:lang w:val="de-DE"/>
        </w:rPr>
        <w:t>,</w:t>
      </w:r>
      <w:r w:rsidR="007C119C" w:rsidRPr="007C119C">
        <w:rPr>
          <w:rFonts w:ascii="Calibri" w:hAnsi="Calibri" w:cs="Calibri"/>
          <w:sz w:val="22"/>
          <w:szCs w:val="22"/>
          <w:lang w:val="de-DE"/>
        </w:rPr>
        <w:t xml:space="preserve"> NZG 2016, </w:t>
      </w:r>
      <w:r w:rsidR="007C119C">
        <w:rPr>
          <w:rFonts w:ascii="Calibri" w:hAnsi="Calibri" w:cs="Calibri"/>
          <w:sz w:val="22"/>
          <w:szCs w:val="22"/>
          <w:lang w:val="de-DE"/>
        </w:rPr>
        <w:t xml:space="preserve">pp. </w:t>
      </w:r>
      <w:r w:rsidR="007C119C" w:rsidRPr="007C119C">
        <w:rPr>
          <w:rFonts w:ascii="Calibri" w:hAnsi="Calibri" w:cs="Calibri"/>
          <w:sz w:val="22"/>
          <w:szCs w:val="22"/>
          <w:lang w:val="de-DE"/>
        </w:rPr>
        <w:t xml:space="preserve">728, 732; R. Koch in </w:t>
      </w:r>
      <w:r w:rsidR="007C119C">
        <w:rPr>
          <w:rFonts w:ascii="Calibri" w:hAnsi="Calibri" w:cs="Calibri"/>
          <w:sz w:val="22"/>
          <w:szCs w:val="22"/>
          <w:lang w:val="de-DE"/>
        </w:rPr>
        <w:t>Beckmann/R. Koch (</w:t>
      </w:r>
      <w:r w:rsidR="0009785C">
        <w:rPr>
          <w:rFonts w:ascii="Calibri" w:hAnsi="Calibri" w:cs="Calibri"/>
          <w:sz w:val="22"/>
          <w:szCs w:val="22"/>
          <w:lang w:val="de-DE"/>
        </w:rPr>
        <w:t>eds.)</w:t>
      </w:r>
      <w:r w:rsidR="007C119C">
        <w:rPr>
          <w:rFonts w:ascii="Calibri" w:hAnsi="Calibri" w:cs="Calibri"/>
          <w:sz w:val="22"/>
          <w:szCs w:val="22"/>
          <w:lang w:val="de-DE"/>
        </w:rPr>
        <w:t xml:space="preserve">, </w:t>
      </w:r>
      <w:r w:rsidR="007C119C" w:rsidRPr="007C119C">
        <w:rPr>
          <w:rFonts w:ascii="Calibri" w:hAnsi="Calibri" w:cs="Calibri"/>
          <w:sz w:val="22"/>
          <w:szCs w:val="22"/>
          <w:lang w:val="de-DE"/>
        </w:rPr>
        <w:t xml:space="preserve">Bruck/Möller, § 108 VVG </w:t>
      </w:r>
      <w:r w:rsidR="007C119C">
        <w:rPr>
          <w:rFonts w:ascii="Calibri" w:hAnsi="Calibri" w:cs="Calibri"/>
          <w:sz w:val="22"/>
          <w:szCs w:val="22"/>
          <w:lang w:val="de-DE"/>
        </w:rPr>
        <w:t>n</w:t>
      </w:r>
      <w:r w:rsidR="007C119C" w:rsidRPr="007C119C">
        <w:rPr>
          <w:rFonts w:ascii="Calibri" w:hAnsi="Calibri" w:cs="Calibri"/>
          <w:sz w:val="22"/>
          <w:szCs w:val="22"/>
          <w:lang w:val="de-DE"/>
        </w:rPr>
        <w:t xml:space="preserve">. 64 </w:t>
      </w:r>
      <w:r w:rsidR="007C119C">
        <w:rPr>
          <w:rFonts w:ascii="Calibri" w:hAnsi="Calibri" w:cs="Calibri"/>
          <w:sz w:val="22"/>
          <w:szCs w:val="22"/>
          <w:lang w:val="de-DE"/>
        </w:rPr>
        <w:t>et seq.</w:t>
      </w:r>
      <w:r w:rsidR="007C119C" w:rsidRPr="007C119C">
        <w:rPr>
          <w:rFonts w:ascii="Calibri" w:hAnsi="Calibri" w:cs="Calibri"/>
          <w:sz w:val="22"/>
          <w:szCs w:val="22"/>
          <w:lang w:val="de-DE"/>
        </w:rPr>
        <w:t>; Baur/Holle</w:t>
      </w:r>
      <w:r w:rsidR="009C5888">
        <w:rPr>
          <w:rFonts w:ascii="Calibri" w:hAnsi="Calibri" w:cs="Calibri"/>
          <w:sz w:val="22"/>
          <w:szCs w:val="22"/>
          <w:lang w:val="de-DE"/>
        </w:rPr>
        <w:t xml:space="preserve">, </w:t>
      </w:r>
      <w:r w:rsidR="009C5888" w:rsidRPr="009C5888">
        <w:rPr>
          <w:rFonts w:ascii="Calibri" w:hAnsi="Calibri" w:cs="Calibri"/>
          <w:sz w:val="22"/>
          <w:szCs w:val="22"/>
          <w:lang w:val="de-DE"/>
        </w:rPr>
        <w:t>Anwendung des § 93 Abs. 2 Satz 2 AktG im Direktprozess gegen den D&amp;O-Versicherer (§ 93 Abs. 2 Satz 2 AktG)</w:t>
      </w:r>
      <w:r w:rsidR="009C5888">
        <w:rPr>
          <w:rFonts w:ascii="Calibri" w:hAnsi="Calibri" w:cs="Calibri"/>
          <w:sz w:val="22"/>
          <w:szCs w:val="22"/>
          <w:lang w:val="de-DE"/>
        </w:rPr>
        <w:t>,</w:t>
      </w:r>
      <w:r w:rsidR="007C119C" w:rsidRPr="007C119C">
        <w:rPr>
          <w:rFonts w:ascii="Calibri" w:hAnsi="Calibri" w:cs="Calibri"/>
          <w:sz w:val="22"/>
          <w:szCs w:val="22"/>
          <w:lang w:val="de-DE"/>
        </w:rPr>
        <w:t xml:space="preserve"> </w:t>
      </w:r>
      <w:r w:rsidR="00810444">
        <w:rPr>
          <w:rFonts w:ascii="Calibri" w:hAnsi="Calibri" w:cs="Calibri"/>
          <w:sz w:val="22"/>
          <w:szCs w:val="22"/>
          <w:lang w:val="de-DE"/>
        </w:rPr>
        <w:t>Die Aktiengesellschaft (</w:t>
      </w:r>
      <w:r w:rsidR="007C119C" w:rsidRPr="007C119C">
        <w:rPr>
          <w:rFonts w:ascii="Calibri" w:hAnsi="Calibri" w:cs="Calibri"/>
          <w:sz w:val="22"/>
          <w:szCs w:val="22"/>
          <w:lang w:val="de-DE"/>
        </w:rPr>
        <w:t>AG</w:t>
      </w:r>
      <w:r w:rsidR="00810444">
        <w:rPr>
          <w:rFonts w:ascii="Calibri" w:hAnsi="Calibri" w:cs="Calibri"/>
          <w:sz w:val="22"/>
          <w:szCs w:val="22"/>
          <w:lang w:val="de-DE"/>
        </w:rPr>
        <w:t>)</w:t>
      </w:r>
      <w:r w:rsidR="007C119C" w:rsidRPr="007C119C">
        <w:rPr>
          <w:rFonts w:ascii="Calibri" w:hAnsi="Calibri" w:cs="Calibri"/>
          <w:sz w:val="22"/>
          <w:szCs w:val="22"/>
          <w:lang w:val="de-DE"/>
        </w:rPr>
        <w:t xml:space="preserve"> 2017, </w:t>
      </w:r>
      <w:r w:rsidR="007C119C">
        <w:rPr>
          <w:rFonts w:ascii="Calibri" w:hAnsi="Calibri" w:cs="Calibri"/>
          <w:sz w:val="22"/>
          <w:szCs w:val="22"/>
          <w:lang w:val="de-DE"/>
        </w:rPr>
        <w:t xml:space="preserve">pp. </w:t>
      </w:r>
      <w:r w:rsidR="007C119C" w:rsidRPr="007C119C">
        <w:rPr>
          <w:rFonts w:ascii="Calibri" w:hAnsi="Calibri" w:cs="Calibri"/>
          <w:sz w:val="22"/>
          <w:szCs w:val="22"/>
          <w:lang w:val="de-DE"/>
        </w:rPr>
        <w:t xml:space="preserve">141, 143; Glimpel, Die Abtretung von Deckungsansprüchen nach § 108 Abs. 2 VVG, 2022, </w:t>
      </w:r>
      <w:r w:rsidR="007C119C">
        <w:rPr>
          <w:rFonts w:ascii="Calibri" w:hAnsi="Calibri" w:cs="Calibri"/>
          <w:sz w:val="22"/>
          <w:szCs w:val="22"/>
          <w:lang w:val="de-DE"/>
        </w:rPr>
        <w:t>pp.</w:t>
      </w:r>
      <w:r w:rsidR="007C119C" w:rsidRPr="007C119C">
        <w:rPr>
          <w:rFonts w:ascii="Calibri" w:hAnsi="Calibri" w:cs="Calibri"/>
          <w:sz w:val="22"/>
          <w:szCs w:val="22"/>
          <w:lang w:val="de-DE"/>
        </w:rPr>
        <w:t xml:space="preserve"> 245 ff.</w:t>
      </w:r>
    </w:p>
  </w:footnote>
  <w:footnote w:id="18">
    <w:p w14:paraId="20DA58F0" w14:textId="09C93C60" w:rsidR="00285DC0" w:rsidRPr="00C15DB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Cologne Court of Appeal</w:t>
      </w:r>
      <w:r w:rsidR="00990D5B" w:rsidRPr="00C15DB0">
        <w:rPr>
          <w:rFonts w:ascii="Calibri" w:hAnsi="Calibri" w:cs="Calibri"/>
          <w:sz w:val="22"/>
          <w:szCs w:val="22"/>
        </w:rPr>
        <w:t xml:space="preserve">, </w:t>
      </w:r>
      <w:r w:rsidR="0077605C" w:rsidRPr="00C15DB0">
        <w:rPr>
          <w:rFonts w:ascii="Calibri" w:hAnsi="Calibri" w:cs="Calibri"/>
          <w:sz w:val="22"/>
          <w:szCs w:val="22"/>
        </w:rPr>
        <w:t>21</w:t>
      </w:r>
      <w:r w:rsidR="00990D5B" w:rsidRPr="00C15DB0">
        <w:rPr>
          <w:rFonts w:ascii="Calibri" w:hAnsi="Calibri" w:cs="Calibri"/>
          <w:sz w:val="22"/>
          <w:szCs w:val="22"/>
        </w:rPr>
        <w:t xml:space="preserve"> November </w:t>
      </w:r>
      <w:r w:rsidR="0077605C" w:rsidRPr="00C15DB0">
        <w:rPr>
          <w:rFonts w:ascii="Calibri" w:hAnsi="Calibri" w:cs="Calibri"/>
          <w:sz w:val="22"/>
          <w:szCs w:val="22"/>
        </w:rPr>
        <w:t xml:space="preserve">2023 </w:t>
      </w:r>
      <w:r w:rsidR="00990D5B" w:rsidRPr="00C15DB0">
        <w:rPr>
          <w:rFonts w:ascii="Calibri" w:hAnsi="Calibri" w:cs="Calibri"/>
          <w:sz w:val="22"/>
          <w:szCs w:val="22"/>
        </w:rPr>
        <w:t>–</w:t>
      </w:r>
      <w:r w:rsidR="0077605C" w:rsidRPr="00C15DB0">
        <w:rPr>
          <w:rFonts w:ascii="Calibri" w:hAnsi="Calibri" w:cs="Calibri"/>
          <w:sz w:val="22"/>
          <w:szCs w:val="22"/>
        </w:rPr>
        <w:t xml:space="preserve"> 9 U 206/22</w:t>
      </w:r>
      <w:r w:rsidR="00990D5B" w:rsidRPr="00C15DB0">
        <w:rPr>
          <w:rFonts w:ascii="Calibri" w:hAnsi="Calibri" w:cs="Calibri"/>
          <w:sz w:val="22"/>
          <w:szCs w:val="22"/>
        </w:rPr>
        <w:t>, VersR 2024, p. 100.</w:t>
      </w:r>
    </w:p>
  </w:footnote>
  <w:footnote w:id="19">
    <w:p w14:paraId="53E6FC4F" w14:textId="59AE841F" w:rsidR="00285DC0" w:rsidRPr="00C15DB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990D5B" w:rsidRPr="00C15DB0">
        <w:rPr>
          <w:rFonts w:ascii="Calibri" w:hAnsi="Calibri" w:cs="Calibri"/>
          <w:sz w:val="22"/>
          <w:szCs w:val="22"/>
        </w:rPr>
        <w:t>, 8 May 2025 – 3 U 113/22, VersR 2025, p. 936.</w:t>
      </w:r>
    </w:p>
  </w:footnote>
  <w:footnote w:id="20">
    <w:p w14:paraId="74DC2596" w14:textId="4B572939" w:rsidR="00285DC0" w:rsidRPr="00C15DB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Pr>
          <w:rFonts w:ascii="Calibri" w:hAnsi="Calibri" w:cs="Calibri"/>
          <w:sz w:val="22"/>
          <w:szCs w:val="22"/>
        </w:rPr>
        <w:t>Frankfurt Court of Appeal</w:t>
      </w:r>
      <w:r w:rsidR="00990D5B" w:rsidRPr="00C15DB0">
        <w:rPr>
          <w:rFonts w:ascii="Calibri" w:hAnsi="Calibri" w:cs="Calibri"/>
          <w:sz w:val="22"/>
          <w:szCs w:val="22"/>
        </w:rPr>
        <w:t xml:space="preserve">, 8 May 2025 – 3 U 113/22, VersR 2025, pp. 936, </w:t>
      </w:r>
      <w:r w:rsidR="007C119C" w:rsidRPr="00C15DB0">
        <w:rPr>
          <w:rFonts w:ascii="Calibri" w:hAnsi="Calibri" w:cs="Calibri"/>
          <w:sz w:val="22"/>
          <w:szCs w:val="22"/>
        </w:rPr>
        <w:t>940</w:t>
      </w:r>
      <w:r w:rsidR="00990D5B" w:rsidRPr="00C15DB0">
        <w:rPr>
          <w:rFonts w:ascii="Calibri" w:hAnsi="Calibri" w:cs="Calibri"/>
          <w:sz w:val="22"/>
          <w:szCs w:val="22"/>
        </w:rPr>
        <w:t xml:space="preserve">; </w:t>
      </w:r>
      <w:r w:rsidR="00C15DB0" w:rsidRPr="00C15DB0">
        <w:rPr>
          <w:rFonts w:ascii="Calibri" w:hAnsi="Calibri" w:cs="Calibri"/>
          <w:sz w:val="22"/>
          <w:szCs w:val="22"/>
        </w:rPr>
        <w:t>Cologne Court of Appeal</w:t>
      </w:r>
      <w:r w:rsidR="00990D5B" w:rsidRPr="00C15DB0">
        <w:rPr>
          <w:rFonts w:ascii="Calibri" w:hAnsi="Calibri" w:cs="Calibri"/>
          <w:sz w:val="22"/>
          <w:szCs w:val="22"/>
        </w:rPr>
        <w:t>, 21 November 2023 - 9 U 206/22, VersR 2024, pp. 100, 106 et seq.</w:t>
      </w:r>
    </w:p>
  </w:footnote>
  <w:footnote w:id="21">
    <w:p w14:paraId="6ED34C6F" w14:textId="603902E6" w:rsidR="00285DC0" w:rsidRPr="007C119C"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7C119C">
        <w:rPr>
          <w:rFonts w:ascii="Calibri" w:hAnsi="Calibri" w:cs="Calibri"/>
          <w:sz w:val="22"/>
          <w:szCs w:val="22"/>
        </w:rPr>
        <w:t xml:space="preserve"> </w:t>
      </w:r>
      <w:r w:rsidR="00990D5B" w:rsidRPr="007C119C">
        <w:rPr>
          <w:rFonts w:ascii="Calibri" w:hAnsi="Calibri" w:cs="Calibri"/>
          <w:sz w:val="22"/>
          <w:szCs w:val="22"/>
        </w:rPr>
        <w:t>R. Koch</w:t>
      </w:r>
      <w:r w:rsidR="00DF3120">
        <w:rPr>
          <w:rFonts w:ascii="Calibri" w:hAnsi="Calibri" w:cs="Calibri"/>
          <w:sz w:val="22"/>
          <w:szCs w:val="22"/>
        </w:rPr>
        <w:t>, n</w:t>
      </w:r>
      <w:r w:rsidR="00DF3120" w:rsidRPr="007C119C">
        <w:rPr>
          <w:rFonts w:ascii="Calibri" w:hAnsi="Calibri" w:cs="Calibri"/>
          <w:sz w:val="22"/>
          <w:szCs w:val="22"/>
        </w:rPr>
        <w:t xml:space="preserve">ote on the judgement </w:t>
      </w:r>
      <w:r w:rsidR="00DF3120">
        <w:rPr>
          <w:rFonts w:ascii="Calibri" w:hAnsi="Calibri" w:cs="Calibri"/>
          <w:sz w:val="22"/>
          <w:szCs w:val="22"/>
        </w:rPr>
        <w:t>of the Cologne Court of Appeal,</w:t>
      </w:r>
      <w:r w:rsidR="00990D5B" w:rsidRPr="007C119C">
        <w:rPr>
          <w:rFonts w:ascii="Calibri" w:hAnsi="Calibri" w:cs="Calibri"/>
          <w:sz w:val="22"/>
          <w:szCs w:val="22"/>
        </w:rPr>
        <w:t xml:space="preserve"> VersR 2024, pp. 10</w:t>
      </w:r>
      <w:r w:rsidR="007C119C" w:rsidRPr="007C119C">
        <w:rPr>
          <w:rFonts w:ascii="Calibri" w:hAnsi="Calibri" w:cs="Calibri"/>
          <w:sz w:val="22"/>
          <w:szCs w:val="22"/>
        </w:rPr>
        <w:t>9 et seq.</w:t>
      </w:r>
    </w:p>
  </w:footnote>
  <w:footnote w:id="22">
    <w:p w14:paraId="24D56B31" w14:textId="0A524625" w:rsidR="00285DC0" w:rsidRPr="00BD030B"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BD030B">
        <w:rPr>
          <w:rFonts w:ascii="Calibri" w:hAnsi="Calibri" w:cs="Calibri"/>
          <w:sz w:val="22"/>
          <w:szCs w:val="22"/>
        </w:rPr>
        <w:t xml:space="preserve"> </w:t>
      </w:r>
      <w:r w:rsidR="00016D10">
        <w:rPr>
          <w:rFonts w:ascii="Calibri" w:hAnsi="Calibri" w:cs="Calibri"/>
          <w:sz w:val="22"/>
          <w:szCs w:val="22"/>
        </w:rPr>
        <w:t xml:space="preserve">LG München I, 20 May 2025 – </w:t>
      </w:r>
      <w:r w:rsidR="00016D10" w:rsidRPr="00016D10">
        <w:rPr>
          <w:rFonts w:ascii="Calibri" w:hAnsi="Calibri" w:cs="Calibri"/>
          <w:sz w:val="22"/>
          <w:szCs w:val="22"/>
        </w:rPr>
        <w:t>13 HKO 7553/22</w:t>
      </w:r>
      <w:r w:rsidR="00016D10">
        <w:rPr>
          <w:rFonts w:ascii="Calibri" w:hAnsi="Calibri" w:cs="Calibri"/>
          <w:sz w:val="22"/>
          <w:szCs w:val="22"/>
        </w:rPr>
        <w:t>, r+s 2025, pp. 1176, 1178 et seq.</w:t>
      </w:r>
    </w:p>
  </w:footnote>
  <w:footnote w:id="23">
    <w:p w14:paraId="4E4DD31B" w14:textId="3D4A9085" w:rsidR="00285DC0" w:rsidRPr="00C15DB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Cologne Court of Appeal</w:t>
      </w:r>
      <w:r w:rsidR="00021374" w:rsidRPr="00C15DB0">
        <w:rPr>
          <w:rFonts w:ascii="Calibri" w:hAnsi="Calibri" w:cs="Calibri"/>
          <w:sz w:val="22"/>
          <w:szCs w:val="22"/>
        </w:rPr>
        <w:t>, 21 November 2023 – 9 U 206/22, VersR 2024, pp. 100, 103.</w:t>
      </w:r>
    </w:p>
  </w:footnote>
  <w:footnote w:id="24">
    <w:p w14:paraId="3CEB3B07" w14:textId="7F8FCDBA" w:rsidR="00285DC0" w:rsidRPr="00DF3120" w:rsidRDefault="00285DC0" w:rsidP="00285DC0">
      <w:pPr>
        <w:pStyle w:val="Footnote"/>
        <w:rPr>
          <w:rFonts w:ascii="Calibri" w:hAnsi="Calibri" w:cs="Calibri"/>
          <w:sz w:val="22"/>
          <w:szCs w:val="22"/>
        </w:rPr>
      </w:pPr>
      <w:r w:rsidRPr="00BD030B">
        <w:rPr>
          <w:rFonts w:ascii="Calibri" w:hAnsi="Calibri" w:cs="Calibri"/>
          <w:sz w:val="22"/>
          <w:szCs w:val="22"/>
          <w:vertAlign w:val="superscript"/>
        </w:rPr>
        <w:footnoteRef/>
      </w:r>
      <w:r w:rsidRPr="00DF3120">
        <w:rPr>
          <w:rFonts w:ascii="Calibri" w:hAnsi="Calibri" w:cs="Calibri"/>
          <w:sz w:val="22"/>
          <w:szCs w:val="22"/>
        </w:rPr>
        <w:t xml:space="preserve"> </w:t>
      </w:r>
      <w:r w:rsidR="00021374" w:rsidRPr="00DF3120">
        <w:rPr>
          <w:rFonts w:ascii="Calibri" w:hAnsi="Calibri" w:cs="Calibri"/>
          <w:sz w:val="22"/>
          <w:szCs w:val="22"/>
        </w:rPr>
        <w:t>R. Koch</w:t>
      </w:r>
      <w:r w:rsidR="00DF3120" w:rsidRPr="00DF3120">
        <w:rPr>
          <w:rFonts w:ascii="Calibri" w:hAnsi="Calibri" w:cs="Calibri"/>
          <w:sz w:val="22"/>
          <w:szCs w:val="22"/>
        </w:rPr>
        <w:t xml:space="preserve">, </w:t>
      </w:r>
      <w:r w:rsidR="00DF3120">
        <w:rPr>
          <w:rFonts w:ascii="Calibri" w:hAnsi="Calibri" w:cs="Calibri"/>
          <w:sz w:val="22"/>
          <w:szCs w:val="22"/>
        </w:rPr>
        <w:t>n</w:t>
      </w:r>
      <w:r w:rsidR="00DF3120" w:rsidRPr="007C119C">
        <w:rPr>
          <w:rFonts w:ascii="Calibri" w:hAnsi="Calibri" w:cs="Calibri"/>
          <w:sz w:val="22"/>
          <w:szCs w:val="22"/>
        </w:rPr>
        <w:t xml:space="preserve">ote on the judgement </w:t>
      </w:r>
      <w:r w:rsidR="00DF3120">
        <w:rPr>
          <w:rFonts w:ascii="Calibri" w:hAnsi="Calibri" w:cs="Calibri"/>
          <w:sz w:val="22"/>
          <w:szCs w:val="22"/>
        </w:rPr>
        <w:t xml:space="preserve">of the Cologne Court of Appeal, </w:t>
      </w:r>
      <w:r w:rsidR="00021374" w:rsidRPr="00DF3120">
        <w:rPr>
          <w:rFonts w:ascii="Calibri" w:hAnsi="Calibri" w:cs="Calibri"/>
          <w:sz w:val="22"/>
          <w:szCs w:val="22"/>
        </w:rPr>
        <w:t>VersR 2024, pp. 109, 112.</w:t>
      </w:r>
    </w:p>
  </w:footnote>
  <w:footnote w:id="25">
    <w:p w14:paraId="6991B2A0" w14:textId="083BD711" w:rsidR="000552DC" w:rsidRPr="00933842" w:rsidRDefault="000552DC" w:rsidP="000552DC">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933842">
        <w:rPr>
          <w:rFonts w:ascii="Calibri" w:hAnsi="Calibri" w:cs="Calibri"/>
          <w:sz w:val="22"/>
          <w:szCs w:val="22"/>
          <w:lang w:val="de-DE"/>
        </w:rPr>
        <w:t xml:space="preserve"> </w:t>
      </w:r>
      <w:r w:rsidRPr="002522D5">
        <w:rPr>
          <w:rFonts w:ascii="Calibri" w:hAnsi="Calibri" w:cs="Calibri"/>
          <w:sz w:val="22"/>
          <w:szCs w:val="22"/>
          <w:lang w:val="de-DE"/>
        </w:rPr>
        <w:t xml:space="preserve">Ihlas in </w:t>
      </w:r>
      <w:r w:rsidRPr="00D4634C">
        <w:rPr>
          <w:rFonts w:ascii="Calibri" w:hAnsi="Calibri" w:cs="Calibri"/>
          <w:sz w:val="22"/>
          <w:szCs w:val="22"/>
          <w:lang w:val="de-DE"/>
        </w:rPr>
        <w:t>Langheid/Wandt</w:t>
      </w:r>
      <w:r>
        <w:rPr>
          <w:rFonts w:ascii="Calibri" w:hAnsi="Calibri" w:cs="Calibri"/>
          <w:sz w:val="22"/>
          <w:szCs w:val="22"/>
          <w:lang w:val="de-DE"/>
        </w:rPr>
        <w:t xml:space="preserve"> (eds.)</w:t>
      </w:r>
      <w:r w:rsidRPr="00D4634C">
        <w:rPr>
          <w:rFonts w:ascii="Calibri" w:hAnsi="Calibri" w:cs="Calibri"/>
          <w:sz w:val="22"/>
          <w:szCs w:val="22"/>
          <w:lang w:val="de-DE"/>
        </w:rPr>
        <w:t xml:space="preserve">, </w:t>
      </w:r>
      <w:r>
        <w:rPr>
          <w:rFonts w:ascii="Calibri" w:hAnsi="Calibri" w:cs="Calibri"/>
          <w:sz w:val="22"/>
          <w:szCs w:val="22"/>
          <w:lang w:val="de-DE"/>
        </w:rPr>
        <w:t xml:space="preserve">Münchener Kommentar zum VVG, vol. 4, </w:t>
      </w:r>
      <w:r w:rsidRPr="00D4634C">
        <w:rPr>
          <w:rFonts w:ascii="Calibri" w:hAnsi="Calibri" w:cs="Calibri"/>
          <w:sz w:val="22"/>
          <w:szCs w:val="22"/>
          <w:lang w:val="de-DE"/>
        </w:rPr>
        <w:t>3</w:t>
      </w:r>
      <w:r>
        <w:rPr>
          <w:rFonts w:ascii="Calibri" w:hAnsi="Calibri" w:cs="Calibri"/>
          <w:sz w:val="22"/>
          <w:szCs w:val="22"/>
          <w:lang w:val="de-DE"/>
        </w:rPr>
        <w:t>rd ed.</w:t>
      </w:r>
      <w:r w:rsidRPr="00D4634C">
        <w:rPr>
          <w:rFonts w:ascii="Calibri" w:hAnsi="Calibri" w:cs="Calibri"/>
          <w:sz w:val="22"/>
          <w:szCs w:val="22"/>
          <w:lang w:val="de-DE"/>
        </w:rPr>
        <w:t xml:space="preserve"> 2025, </w:t>
      </w:r>
      <w:r>
        <w:rPr>
          <w:rFonts w:ascii="Calibri" w:hAnsi="Calibri" w:cs="Calibri"/>
          <w:sz w:val="22"/>
          <w:szCs w:val="22"/>
          <w:lang w:val="de-DE"/>
        </w:rPr>
        <w:t xml:space="preserve">Kap. </w:t>
      </w:r>
      <w:r w:rsidRPr="00D4634C">
        <w:rPr>
          <w:rFonts w:ascii="Calibri" w:hAnsi="Calibri" w:cs="Calibri"/>
          <w:sz w:val="22"/>
          <w:szCs w:val="22"/>
          <w:lang w:val="de-DE"/>
        </w:rPr>
        <w:t xml:space="preserve">35 </w:t>
      </w:r>
      <w:r>
        <w:rPr>
          <w:rFonts w:ascii="Calibri" w:hAnsi="Calibri" w:cs="Calibri"/>
          <w:sz w:val="22"/>
          <w:szCs w:val="22"/>
          <w:lang w:val="de-DE"/>
        </w:rPr>
        <w:t>ns. 5 et seq.</w:t>
      </w:r>
    </w:p>
  </w:footnote>
  <w:footnote w:id="26">
    <w:p w14:paraId="67DB3F01" w14:textId="3C9EBC11" w:rsidR="00645D15" w:rsidRPr="00BD030B" w:rsidRDefault="00645D15" w:rsidP="00645D15">
      <w:pPr>
        <w:pStyle w:val="Footnote"/>
        <w:rPr>
          <w:rFonts w:ascii="Calibri" w:hAnsi="Calibri" w:cs="Calibri"/>
          <w:sz w:val="22"/>
          <w:szCs w:val="22"/>
        </w:rPr>
      </w:pPr>
      <w:r w:rsidRPr="00BD030B">
        <w:rPr>
          <w:rFonts w:ascii="Calibri" w:hAnsi="Calibri" w:cs="Calibri"/>
          <w:sz w:val="22"/>
          <w:szCs w:val="22"/>
          <w:vertAlign w:val="superscript"/>
        </w:rPr>
        <w:footnoteRef/>
      </w:r>
      <w:r w:rsidRPr="00BD030B">
        <w:rPr>
          <w:rFonts w:ascii="Calibri" w:hAnsi="Calibri" w:cs="Calibri"/>
          <w:sz w:val="22"/>
          <w:szCs w:val="22"/>
        </w:rPr>
        <w:t xml:space="preserve"> </w:t>
      </w:r>
      <w:r w:rsidRPr="00645D15">
        <w:rPr>
          <w:rFonts w:ascii="Calibri" w:hAnsi="Calibri" w:cs="Calibri"/>
          <w:sz w:val="22"/>
          <w:szCs w:val="22"/>
        </w:rPr>
        <w:t xml:space="preserve">The appeal </w:t>
      </w:r>
      <w:r w:rsidR="00976BCD">
        <w:rPr>
          <w:rFonts w:ascii="Calibri" w:hAnsi="Calibri" w:cs="Calibri"/>
          <w:sz w:val="22"/>
          <w:szCs w:val="22"/>
        </w:rPr>
        <w:t xml:space="preserve">before the BGH </w:t>
      </w:r>
      <w:r w:rsidRPr="00645D15">
        <w:rPr>
          <w:rFonts w:ascii="Calibri" w:hAnsi="Calibri" w:cs="Calibri"/>
          <w:sz w:val="22"/>
          <w:szCs w:val="22"/>
        </w:rPr>
        <w:t>is pending under case number IV ZR 183/24</w:t>
      </w:r>
      <w:r>
        <w:rPr>
          <w:rFonts w:ascii="Calibri" w:hAnsi="Calibri" w:cs="Calibri"/>
          <w:sz w:val="22"/>
          <w:szCs w:val="22"/>
        </w:rPr>
        <w:t>.</w:t>
      </w:r>
    </w:p>
  </w:footnote>
  <w:footnote w:id="27">
    <w:p w14:paraId="528B706B" w14:textId="36C0EE0A" w:rsidR="00992B9D" w:rsidRPr="00C15DB0" w:rsidRDefault="00992B9D" w:rsidP="00992B9D">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9B5ACB" w:rsidRPr="00C15DB0">
        <w:rPr>
          <w:rFonts w:ascii="Calibri" w:hAnsi="Calibri" w:cs="Calibri"/>
          <w:sz w:val="22"/>
          <w:szCs w:val="22"/>
        </w:rPr>
        <w:t>, 29 November 2024 – 7 U 82/22, VersR 2025, pp. 282, 287.</w:t>
      </w:r>
    </w:p>
  </w:footnote>
  <w:footnote w:id="28">
    <w:p w14:paraId="5D6AD405" w14:textId="103D80D0" w:rsidR="00992B9D" w:rsidRPr="00C15DB0" w:rsidRDefault="00992B9D" w:rsidP="00992B9D">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9B5ACB" w:rsidRPr="00C15DB0">
        <w:rPr>
          <w:rFonts w:ascii="Calibri" w:hAnsi="Calibri" w:cs="Calibri"/>
          <w:sz w:val="22"/>
          <w:szCs w:val="22"/>
        </w:rPr>
        <w:t>, 29 November 2024 – 7 U 82/22, VersR 2025, pp. 282, 287 et seq.</w:t>
      </w:r>
    </w:p>
  </w:footnote>
  <w:footnote w:id="29">
    <w:p w14:paraId="424C5738" w14:textId="5319AAE1" w:rsidR="00992B9D" w:rsidRPr="00933842" w:rsidRDefault="00992B9D" w:rsidP="00992B9D">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933842">
        <w:rPr>
          <w:rFonts w:ascii="Calibri" w:hAnsi="Calibri" w:cs="Calibri"/>
          <w:sz w:val="22"/>
          <w:szCs w:val="22"/>
          <w:lang w:val="de-DE"/>
        </w:rPr>
        <w:t xml:space="preserve"> </w:t>
      </w:r>
      <w:r w:rsidR="00933842" w:rsidRPr="002522D5">
        <w:rPr>
          <w:rFonts w:ascii="Calibri" w:hAnsi="Calibri" w:cs="Calibri"/>
          <w:sz w:val="22"/>
          <w:szCs w:val="22"/>
          <w:lang w:val="de-DE"/>
        </w:rPr>
        <w:t xml:space="preserve">Ihlas in </w:t>
      </w:r>
      <w:r w:rsidR="00933842" w:rsidRPr="00D4634C">
        <w:rPr>
          <w:rFonts w:ascii="Calibri" w:hAnsi="Calibri" w:cs="Calibri"/>
          <w:sz w:val="22"/>
          <w:szCs w:val="22"/>
          <w:lang w:val="de-DE"/>
        </w:rPr>
        <w:t>Langheid/Wandt</w:t>
      </w:r>
      <w:r w:rsidR="00933842">
        <w:rPr>
          <w:rFonts w:ascii="Calibri" w:hAnsi="Calibri" w:cs="Calibri"/>
          <w:sz w:val="22"/>
          <w:szCs w:val="22"/>
          <w:lang w:val="de-DE"/>
        </w:rPr>
        <w:t xml:space="preserve"> (</w:t>
      </w:r>
      <w:r w:rsidR="0009785C">
        <w:rPr>
          <w:rFonts w:ascii="Calibri" w:hAnsi="Calibri" w:cs="Calibri"/>
          <w:sz w:val="22"/>
          <w:szCs w:val="22"/>
          <w:lang w:val="de-DE"/>
        </w:rPr>
        <w:t>eds.)</w:t>
      </w:r>
      <w:r w:rsidR="00933842" w:rsidRPr="00D4634C">
        <w:rPr>
          <w:rFonts w:ascii="Calibri" w:hAnsi="Calibri" w:cs="Calibri"/>
          <w:sz w:val="22"/>
          <w:szCs w:val="22"/>
          <w:lang w:val="de-DE"/>
        </w:rPr>
        <w:t xml:space="preserve">, </w:t>
      </w:r>
      <w:r w:rsidR="00933842">
        <w:rPr>
          <w:rFonts w:ascii="Calibri" w:hAnsi="Calibri" w:cs="Calibri"/>
          <w:sz w:val="22"/>
          <w:szCs w:val="22"/>
          <w:lang w:val="de-DE"/>
        </w:rPr>
        <w:t xml:space="preserve">Münchener Kommentar zum VVG, vol. 4, </w:t>
      </w:r>
      <w:r w:rsidR="00933842" w:rsidRPr="00D4634C">
        <w:rPr>
          <w:rFonts w:ascii="Calibri" w:hAnsi="Calibri" w:cs="Calibri"/>
          <w:sz w:val="22"/>
          <w:szCs w:val="22"/>
          <w:lang w:val="de-DE"/>
        </w:rPr>
        <w:t>3</w:t>
      </w:r>
      <w:r w:rsidR="00933842">
        <w:rPr>
          <w:rFonts w:ascii="Calibri" w:hAnsi="Calibri" w:cs="Calibri"/>
          <w:sz w:val="22"/>
          <w:szCs w:val="22"/>
          <w:lang w:val="de-DE"/>
        </w:rPr>
        <w:t>rd ed.</w:t>
      </w:r>
      <w:r w:rsidR="00933842" w:rsidRPr="00D4634C">
        <w:rPr>
          <w:rFonts w:ascii="Calibri" w:hAnsi="Calibri" w:cs="Calibri"/>
          <w:sz w:val="22"/>
          <w:szCs w:val="22"/>
          <w:lang w:val="de-DE"/>
        </w:rPr>
        <w:t xml:space="preserve"> 2025, </w:t>
      </w:r>
      <w:r w:rsidR="00933842">
        <w:rPr>
          <w:rFonts w:ascii="Calibri" w:hAnsi="Calibri" w:cs="Calibri"/>
          <w:sz w:val="22"/>
          <w:szCs w:val="22"/>
          <w:lang w:val="de-DE"/>
        </w:rPr>
        <w:t xml:space="preserve">Kap. </w:t>
      </w:r>
      <w:r w:rsidR="00933842" w:rsidRPr="00D4634C">
        <w:rPr>
          <w:rFonts w:ascii="Calibri" w:hAnsi="Calibri" w:cs="Calibri"/>
          <w:sz w:val="22"/>
          <w:szCs w:val="22"/>
          <w:lang w:val="de-DE"/>
        </w:rPr>
        <w:t xml:space="preserve">35 </w:t>
      </w:r>
      <w:r w:rsidR="00933842">
        <w:rPr>
          <w:rFonts w:ascii="Calibri" w:hAnsi="Calibri" w:cs="Calibri"/>
          <w:sz w:val="22"/>
          <w:szCs w:val="22"/>
          <w:lang w:val="de-DE"/>
        </w:rPr>
        <w:t>ns. 507 et seq.</w:t>
      </w:r>
    </w:p>
  </w:footnote>
  <w:footnote w:id="30">
    <w:p w14:paraId="3F38C91F" w14:textId="3D46FFC4" w:rsidR="006524D0" w:rsidRPr="00351E44" w:rsidRDefault="006524D0" w:rsidP="006524D0">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351E44">
        <w:rPr>
          <w:rFonts w:ascii="Calibri" w:hAnsi="Calibri" w:cs="Calibri"/>
          <w:sz w:val="22"/>
          <w:szCs w:val="22"/>
          <w:lang w:val="de-DE"/>
        </w:rPr>
        <w:t xml:space="preserve"> See e.g. Voit in Prölss/Martin, VVG, 32nd ed. 2024, AVB D&amp;O A-6.4 n. 2; Schimikowski in Rüffer/Halbach/Schimikowski</w:t>
      </w:r>
      <w:r>
        <w:rPr>
          <w:rFonts w:ascii="Calibri" w:hAnsi="Calibri" w:cs="Calibri"/>
          <w:sz w:val="22"/>
          <w:szCs w:val="22"/>
          <w:lang w:val="de-DE"/>
        </w:rPr>
        <w:t xml:space="preserve"> (</w:t>
      </w:r>
      <w:r w:rsidR="0009785C">
        <w:rPr>
          <w:rFonts w:ascii="Calibri" w:hAnsi="Calibri" w:cs="Calibri"/>
          <w:sz w:val="22"/>
          <w:szCs w:val="22"/>
          <w:lang w:val="de-DE"/>
        </w:rPr>
        <w:t>eds.)</w:t>
      </w:r>
      <w:r w:rsidRPr="00351E44">
        <w:rPr>
          <w:rFonts w:ascii="Calibri" w:hAnsi="Calibri" w:cs="Calibri"/>
          <w:sz w:val="22"/>
          <w:szCs w:val="22"/>
          <w:lang w:val="de-DE"/>
        </w:rPr>
        <w:t>, Versicherungsvertragsgesetz</w:t>
      </w:r>
      <w:r>
        <w:rPr>
          <w:rFonts w:ascii="Calibri" w:hAnsi="Calibri" w:cs="Calibri"/>
          <w:sz w:val="22"/>
          <w:szCs w:val="22"/>
          <w:lang w:val="de-DE"/>
        </w:rPr>
        <w:t>, 5th</w:t>
      </w:r>
      <w:r w:rsidRPr="00351E44">
        <w:rPr>
          <w:rFonts w:ascii="Calibri" w:hAnsi="Calibri" w:cs="Calibri"/>
          <w:sz w:val="22"/>
          <w:szCs w:val="22"/>
          <w:lang w:val="de-DE"/>
        </w:rPr>
        <w:t xml:space="preserve"> 202</w:t>
      </w:r>
      <w:r>
        <w:rPr>
          <w:rFonts w:ascii="Calibri" w:hAnsi="Calibri" w:cs="Calibri"/>
          <w:sz w:val="22"/>
          <w:szCs w:val="22"/>
          <w:lang w:val="de-DE"/>
        </w:rPr>
        <w:t>5</w:t>
      </w:r>
      <w:r w:rsidRPr="00351E44">
        <w:rPr>
          <w:rFonts w:ascii="Calibri" w:hAnsi="Calibri" w:cs="Calibri"/>
          <w:sz w:val="22"/>
          <w:szCs w:val="22"/>
          <w:lang w:val="de-DE"/>
        </w:rPr>
        <w:t>, § 101 VVG n. 4; Säcker</w:t>
      </w:r>
      <w:r w:rsidR="00C15DB0">
        <w:rPr>
          <w:rFonts w:ascii="Calibri" w:hAnsi="Calibri" w:cs="Calibri"/>
          <w:sz w:val="22"/>
          <w:szCs w:val="22"/>
          <w:lang w:val="de-DE"/>
        </w:rPr>
        <w:t xml:space="preserve">, </w:t>
      </w:r>
      <w:r w:rsidR="00C15DB0" w:rsidRPr="00C15DB0">
        <w:rPr>
          <w:rFonts w:ascii="Calibri" w:hAnsi="Calibri" w:cs="Calibri"/>
          <w:sz w:val="22"/>
          <w:szCs w:val="22"/>
          <w:lang w:val="de-DE"/>
        </w:rPr>
        <w:t>Streitfragen zur D&amp;O-Versicherung</w:t>
      </w:r>
      <w:r w:rsidR="00C15DB0">
        <w:rPr>
          <w:rFonts w:ascii="Calibri" w:hAnsi="Calibri" w:cs="Calibri"/>
          <w:sz w:val="22"/>
          <w:szCs w:val="22"/>
          <w:lang w:val="de-DE"/>
        </w:rPr>
        <w:t>,</w:t>
      </w:r>
      <w:r w:rsidRPr="00351E44">
        <w:rPr>
          <w:rFonts w:ascii="Calibri" w:hAnsi="Calibri" w:cs="Calibri"/>
          <w:sz w:val="22"/>
          <w:szCs w:val="22"/>
          <w:lang w:val="de-DE"/>
        </w:rPr>
        <w:t xml:space="preserve"> VersR 2005, pp. 10, 14 et seq.</w:t>
      </w:r>
    </w:p>
  </w:footnote>
  <w:footnote w:id="31">
    <w:p w14:paraId="2E7A45A5" w14:textId="25C4EA17" w:rsidR="00992B9D" w:rsidRPr="00C15DB0" w:rsidRDefault="00992B9D" w:rsidP="00992B9D">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101446" w:rsidRPr="00C15DB0">
        <w:rPr>
          <w:rFonts w:ascii="Calibri" w:hAnsi="Calibri" w:cs="Calibri"/>
          <w:sz w:val="22"/>
          <w:szCs w:val="22"/>
        </w:rPr>
        <w:t>, 9 June 2011 – 7 U 127/09</w:t>
      </w:r>
      <w:r w:rsidR="00E32180" w:rsidRPr="00C15DB0">
        <w:rPr>
          <w:rFonts w:ascii="Calibri" w:hAnsi="Calibri" w:cs="Calibri"/>
          <w:sz w:val="22"/>
          <w:szCs w:val="22"/>
        </w:rPr>
        <w:t>, VersR 2012, pp. 432</w:t>
      </w:r>
      <w:r w:rsidR="009B5ACB" w:rsidRPr="00C15DB0">
        <w:rPr>
          <w:rFonts w:ascii="Calibri" w:hAnsi="Calibri" w:cs="Calibri"/>
          <w:sz w:val="22"/>
          <w:szCs w:val="22"/>
        </w:rPr>
        <w:t xml:space="preserve"> et seq.</w:t>
      </w:r>
    </w:p>
  </w:footnote>
  <w:footnote w:id="32">
    <w:p w14:paraId="188A7EA6" w14:textId="76C8A6D0" w:rsidR="00992B9D" w:rsidRPr="00C15DB0" w:rsidRDefault="00992B9D" w:rsidP="00992B9D">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E32180" w:rsidRPr="00C15DB0">
        <w:rPr>
          <w:rFonts w:ascii="Calibri" w:hAnsi="Calibri" w:cs="Calibri"/>
          <w:sz w:val="22"/>
          <w:szCs w:val="22"/>
        </w:rPr>
        <w:t>, 29 November 2024 – 7 U 82/22, VersR 2025, pp. 2</w:t>
      </w:r>
      <w:r w:rsidR="00351E44" w:rsidRPr="00C15DB0">
        <w:rPr>
          <w:rFonts w:ascii="Calibri" w:hAnsi="Calibri" w:cs="Calibri"/>
          <w:sz w:val="22"/>
          <w:szCs w:val="22"/>
        </w:rPr>
        <w:t>90</w:t>
      </w:r>
      <w:r w:rsidR="00E32180" w:rsidRPr="00C15DB0">
        <w:rPr>
          <w:rFonts w:ascii="Calibri" w:hAnsi="Calibri" w:cs="Calibri"/>
          <w:sz w:val="22"/>
          <w:szCs w:val="22"/>
        </w:rPr>
        <w:t xml:space="preserve"> et seq.</w:t>
      </w:r>
    </w:p>
  </w:footnote>
  <w:footnote w:id="33">
    <w:p w14:paraId="2E4A6594" w14:textId="4520EF05" w:rsidR="005444C8" w:rsidRPr="00C15DB0" w:rsidRDefault="005444C8" w:rsidP="005444C8">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Pr="00C15DB0">
        <w:rPr>
          <w:rFonts w:ascii="Calibri" w:hAnsi="Calibri" w:cs="Calibri"/>
          <w:sz w:val="22"/>
          <w:szCs w:val="22"/>
        </w:rPr>
        <w:t>, 29 November 2024 – 7 U 82/22, VersR 2025, pp. 290, 292.</w:t>
      </w:r>
    </w:p>
  </w:footnote>
  <w:footnote w:id="34">
    <w:p w14:paraId="34A3160C" w14:textId="5E6E3FEE" w:rsidR="00992B9D" w:rsidRPr="00C15DB0" w:rsidRDefault="00992B9D" w:rsidP="00992B9D">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00855F42" w:rsidRPr="00C15DB0">
        <w:rPr>
          <w:rFonts w:ascii="Calibri" w:hAnsi="Calibri" w:cs="Calibri"/>
          <w:sz w:val="22"/>
          <w:szCs w:val="22"/>
        </w:rPr>
        <w:t>, 29 November 2024 – 7 U 82/22, VersR 2025, pp. 290, 293.</w:t>
      </w:r>
    </w:p>
  </w:footnote>
  <w:footnote w:id="35">
    <w:p w14:paraId="28B89DD5" w14:textId="05314604" w:rsidR="00134ECF" w:rsidRPr="00134ECF" w:rsidRDefault="00134ECF" w:rsidP="00134ECF">
      <w:pPr>
        <w:pStyle w:val="Footnote"/>
        <w:rPr>
          <w:rFonts w:asciiTheme="minorHAnsi" w:hAnsiTheme="minorHAnsi" w:cstheme="minorHAnsi"/>
          <w:sz w:val="22"/>
          <w:szCs w:val="22"/>
          <w:lang w:val="de-DE"/>
        </w:rPr>
      </w:pPr>
      <w:r w:rsidRPr="00BD030B">
        <w:rPr>
          <w:rFonts w:ascii="Calibri" w:hAnsi="Calibri" w:cs="Calibri"/>
          <w:sz w:val="22"/>
          <w:szCs w:val="22"/>
          <w:vertAlign w:val="superscript"/>
        </w:rPr>
        <w:footnoteRef/>
      </w:r>
      <w:r w:rsidRPr="00134ECF">
        <w:rPr>
          <w:rFonts w:ascii="Calibri" w:hAnsi="Calibri" w:cs="Calibri"/>
          <w:sz w:val="22"/>
          <w:szCs w:val="22"/>
          <w:lang w:val="de-DE"/>
        </w:rPr>
        <w:t xml:space="preserve"> </w:t>
      </w:r>
      <w:r>
        <w:rPr>
          <w:rFonts w:ascii="Calibri" w:hAnsi="Calibri" w:cs="Calibri"/>
          <w:sz w:val="22"/>
          <w:szCs w:val="22"/>
          <w:lang w:val="de-DE"/>
        </w:rPr>
        <w:t>See R. Koch</w:t>
      </w:r>
      <w:r w:rsidRPr="00C354CE">
        <w:rPr>
          <w:rFonts w:asciiTheme="minorHAnsi" w:hAnsiTheme="minorHAnsi" w:cstheme="minorHAnsi"/>
          <w:sz w:val="22"/>
          <w:szCs w:val="22"/>
          <w:lang w:val="de-DE"/>
        </w:rPr>
        <w:t>, in: Bruck/Moeller, Großkommentar zum VVG, vol. 4, 10th ed.</w:t>
      </w:r>
      <w:r>
        <w:rPr>
          <w:rFonts w:asciiTheme="minorHAnsi" w:hAnsiTheme="minorHAnsi" w:cstheme="minorHAnsi"/>
          <w:sz w:val="22"/>
          <w:szCs w:val="22"/>
          <w:lang w:val="de-DE"/>
        </w:rPr>
        <w:t xml:space="preserve"> 2022</w:t>
      </w:r>
      <w:r w:rsidRPr="00C354CE">
        <w:rPr>
          <w:rFonts w:asciiTheme="minorHAnsi" w:hAnsiTheme="minorHAnsi" w:cstheme="minorHAnsi"/>
          <w:sz w:val="22"/>
          <w:szCs w:val="22"/>
          <w:lang w:val="de-DE"/>
        </w:rPr>
        <w:t>, § 10</w:t>
      </w:r>
      <w:r>
        <w:rPr>
          <w:rFonts w:asciiTheme="minorHAnsi" w:hAnsiTheme="minorHAnsi" w:cstheme="minorHAnsi"/>
          <w:sz w:val="22"/>
          <w:szCs w:val="22"/>
          <w:lang w:val="de-DE"/>
        </w:rPr>
        <w:t>9</w:t>
      </w:r>
      <w:r w:rsidRPr="00C354CE">
        <w:rPr>
          <w:rFonts w:asciiTheme="minorHAnsi" w:hAnsiTheme="minorHAnsi" w:cstheme="minorHAnsi"/>
          <w:sz w:val="22"/>
          <w:szCs w:val="22"/>
          <w:lang w:val="de-DE"/>
        </w:rPr>
        <w:t xml:space="preserve"> VVG n</w:t>
      </w:r>
      <w:r>
        <w:rPr>
          <w:rFonts w:asciiTheme="minorHAnsi" w:hAnsiTheme="minorHAnsi" w:cstheme="minorHAnsi"/>
          <w:sz w:val="22"/>
          <w:szCs w:val="22"/>
          <w:lang w:val="de-DE"/>
        </w:rPr>
        <w:t>.</w:t>
      </w:r>
      <w:r w:rsidRPr="00C354CE">
        <w:rPr>
          <w:rFonts w:asciiTheme="minorHAnsi" w:hAnsiTheme="minorHAnsi" w:cstheme="minorHAnsi"/>
          <w:sz w:val="22"/>
          <w:szCs w:val="22"/>
          <w:lang w:val="de-DE"/>
        </w:rPr>
        <w:t xml:space="preserve"> </w:t>
      </w:r>
      <w:r>
        <w:rPr>
          <w:rFonts w:asciiTheme="minorHAnsi" w:hAnsiTheme="minorHAnsi" w:cstheme="minorHAnsi"/>
          <w:sz w:val="22"/>
          <w:szCs w:val="22"/>
          <w:lang w:val="de-DE"/>
        </w:rPr>
        <w:t>69.</w:t>
      </w:r>
    </w:p>
  </w:footnote>
  <w:footnote w:id="36">
    <w:p w14:paraId="5338A570" w14:textId="1BB7039F" w:rsidR="00992B9D" w:rsidRPr="00134ECF" w:rsidRDefault="00992B9D" w:rsidP="00992B9D">
      <w:pPr>
        <w:pStyle w:val="Footnote"/>
        <w:rPr>
          <w:rFonts w:asciiTheme="minorHAnsi" w:hAnsiTheme="minorHAnsi" w:cstheme="minorHAnsi"/>
          <w:sz w:val="22"/>
          <w:szCs w:val="22"/>
          <w:lang w:val="de-DE"/>
        </w:rPr>
      </w:pPr>
      <w:r w:rsidRPr="00BD030B">
        <w:rPr>
          <w:rFonts w:ascii="Calibri" w:hAnsi="Calibri" w:cs="Calibri"/>
          <w:sz w:val="22"/>
          <w:szCs w:val="22"/>
          <w:vertAlign w:val="superscript"/>
        </w:rPr>
        <w:footnoteRef/>
      </w:r>
      <w:r w:rsidRPr="00134ECF">
        <w:rPr>
          <w:rFonts w:ascii="Calibri" w:hAnsi="Calibri" w:cs="Calibri"/>
          <w:sz w:val="22"/>
          <w:szCs w:val="22"/>
          <w:lang w:val="de-DE"/>
        </w:rPr>
        <w:t xml:space="preserve"> </w:t>
      </w:r>
      <w:r w:rsidR="00134ECF">
        <w:rPr>
          <w:rFonts w:ascii="Calibri" w:hAnsi="Calibri" w:cs="Calibri"/>
          <w:sz w:val="22"/>
          <w:szCs w:val="22"/>
          <w:lang w:val="de-DE"/>
        </w:rPr>
        <w:t>See R. Koch</w:t>
      </w:r>
      <w:r w:rsidR="00134ECF" w:rsidRPr="00C354CE">
        <w:rPr>
          <w:rFonts w:asciiTheme="minorHAnsi" w:hAnsiTheme="minorHAnsi" w:cstheme="minorHAnsi"/>
          <w:sz w:val="22"/>
          <w:szCs w:val="22"/>
          <w:lang w:val="de-DE"/>
        </w:rPr>
        <w:t xml:space="preserve">, </w:t>
      </w:r>
      <w:r w:rsidR="00810444">
        <w:rPr>
          <w:rFonts w:asciiTheme="minorHAnsi" w:hAnsiTheme="minorHAnsi" w:cstheme="minorHAnsi"/>
          <w:sz w:val="22"/>
          <w:szCs w:val="22"/>
          <w:lang w:val="de-DE"/>
        </w:rPr>
        <w:t>ibid.</w:t>
      </w:r>
      <w:r w:rsidR="00134ECF" w:rsidRPr="00C354CE">
        <w:rPr>
          <w:rFonts w:asciiTheme="minorHAnsi" w:hAnsiTheme="minorHAnsi" w:cstheme="minorHAnsi"/>
          <w:sz w:val="22"/>
          <w:szCs w:val="22"/>
          <w:lang w:val="de-DE"/>
        </w:rPr>
        <w:t>, § 10</w:t>
      </w:r>
      <w:r w:rsidR="00134ECF">
        <w:rPr>
          <w:rFonts w:asciiTheme="minorHAnsi" w:hAnsiTheme="minorHAnsi" w:cstheme="minorHAnsi"/>
          <w:sz w:val="22"/>
          <w:szCs w:val="22"/>
          <w:lang w:val="de-DE"/>
        </w:rPr>
        <w:t>9</w:t>
      </w:r>
      <w:r w:rsidR="00134ECF" w:rsidRPr="00C354CE">
        <w:rPr>
          <w:rFonts w:asciiTheme="minorHAnsi" w:hAnsiTheme="minorHAnsi" w:cstheme="minorHAnsi"/>
          <w:sz w:val="22"/>
          <w:szCs w:val="22"/>
          <w:lang w:val="de-DE"/>
        </w:rPr>
        <w:t xml:space="preserve"> VVG n</w:t>
      </w:r>
      <w:r w:rsidR="00134ECF">
        <w:rPr>
          <w:rFonts w:asciiTheme="minorHAnsi" w:hAnsiTheme="minorHAnsi" w:cstheme="minorHAnsi"/>
          <w:sz w:val="22"/>
          <w:szCs w:val="22"/>
          <w:lang w:val="de-DE"/>
        </w:rPr>
        <w:t>s.</w:t>
      </w:r>
      <w:r w:rsidR="00134ECF" w:rsidRPr="00C354CE">
        <w:rPr>
          <w:rFonts w:asciiTheme="minorHAnsi" w:hAnsiTheme="minorHAnsi" w:cstheme="minorHAnsi"/>
          <w:sz w:val="22"/>
          <w:szCs w:val="22"/>
          <w:lang w:val="de-DE"/>
        </w:rPr>
        <w:t xml:space="preserve"> </w:t>
      </w:r>
      <w:r w:rsidR="00134ECF">
        <w:rPr>
          <w:rFonts w:asciiTheme="minorHAnsi" w:hAnsiTheme="minorHAnsi" w:cstheme="minorHAnsi"/>
          <w:sz w:val="22"/>
          <w:szCs w:val="22"/>
          <w:lang w:val="de-DE"/>
        </w:rPr>
        <w:t>70 et seq.</w:t>
      </w:r>
    </w:p>
  </w:footnote>
  <w:footnote w:id="37">
    <w:p w14:paraId="7F61BA81" w14:textId="0E2ACB47" w:rsidR="00992B9D" w:rsidRPr="00134ECF" w:rsidRDefault="00992B9D" w:rsidP="00992B9D">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134ECF">
        <w:rPr>
          <w:rFonts w:ascii="Calibri" w:hAnsi="Calibri" w:cs="Calibri"/>
          <w:sz w:val="22"/>
          <w:szCs w:val="22"/>
          <w:lang w:val="de-DE"/>
        </w:rPr>
        <w:t xml:space="preserve"> </w:t>
      </w:r>
      <w:r w:rsidR="00B4049C">
        <w:rPr>
          <w:rFonts w:ascii="Calibri" w:hAnsi="Calibri" w:cs="Calibri"/>
          <w:sz w:val="22"/>
          <w:szCs w:val="22"/>
          <w:lang w:val="de-DE"/>
        </w:rPr>
        <w:t>See e.g. Lange</w:t>
      </w:r>
      <w:r w:rsidR="00C15DB0">
        <w:rPr>
          <w:rFonts w:ascii="Calibri" w:hAnsi="Calibri" w:cs="Calibri"/>
          <w:sz w:val="22"/>
          <w:szCs w:val="22"/>
          <w:lang w:val="de-DE"/>
        </w:rPr>
        <w:t xml:space="preserve">, </w:t>
      </w:r>
      <w:r w:rsidR="00C15DB0" w:rsidRPr="00C15DB0">
        <w:rPr>
          <w:rFonts w:ascii="Calibri" w:hAnsi="Calibri" w:cs="Calibri"/>
          <w:sz w:val="22"/>
          <w:szCs w:val="22"/>
          <w:lang w:val="de-DE"/>
        </w:rPr>
        <w:t>Die verbrauchte Versicherungssumme in der D&amp;O-Versicherung</w:t>
      </w:r>
      <w:r w:rsidR="00C15DB0">
        <w:rPr>
          <w:rFonts w:ascii="Calibri" w:hAnsi="Calibri" w:cs="Calibri"/>
          <w:sz w:val="22"/>
          <w:szCs w:val="22"/>
          <w:lang w:val="de-DE"/>
        </w:rPr>
        <w:t>,</w:t>
      </w:r>
      <w:r w:rsidR="00B4049C">
        <w:rPr>
          <w:rFonts w:ascii="Calibri" w:hAnsi="Calibri" w:cs="Calibri"/>
          <w:sz w:val="22"/>
          <w:szCs w:val="22"/>
          <w:lang w:val="de-DE"/>
        </w:rPr>
        <w:t xml:space="preserve"> VersR 2014, pp. 1413, 1416 et seq.</w:t>
      </w:r>
    </w:p>
  </w:footnote>
  <w:footnote w:id="38">
    <w:p w14:paraId="2E548AC7" w14:textId="31EFBC33" w:rsidR="00992B9D" w:rsidRPr="00134ECF" w:rsidRDefault="00992B9D" w:rsidP="00992B9D">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134ECF">
        <w:rPr>
          <w:rFonts w:ascii="Calibri" w:hAnsi="Calibri" w:cs="Calibri"/>
          <w:sz w:val="22"/>
          <w:szCs w:val="22"/>
          <w:lang w:val="de-DE"/>
        </w:rPr>
        <w:t xml:space="preserve"> </w:t>
      </w:r>
      <w:r w:rsidR="00134ECF" w:rsidRPr="00134ECF">
        <w:rPr>
          <w:rFonts w:ascii="Calibri" w:hAnsi="Calibri" w:cs="Calibri"/>
          <w:sz w:val="22"/>
          <w:szCs w:val="22"/>
          <w:lang w:val="de-DE"/>
        </w:rPr>
        <w:t>Armbrüster</w:t>
      </w:r>
      <w:r w:rsidR="00C15DB0">
        <w:rPr>
          <w:rFonts w:ascii="Calibri" w:hAnsi="Calibri" w:cs="Calibri"/>
          <w:sz w:val="22"/>
          <w:szCs w:val="22"/>
          <w:lang w:val="de-DE"/>
        </w:rPr>
        <w:t xml:space="preserve">, </w:t>
      </w:r>
      <w:r w:rsidR="00C15DB0" w:rsidRPr="00C15DB0">
        <w:rPr>
          <w:rFonts w:ascii="Calibri" w:hAnsi="Calibri" w:cs="Calibri"/>
          <w:sz w:val="22"/>
          <w:szCs w:val="22"/>
          <w:lang w:val="de-DE"/>
        </w:rPr>
        <w:t>Verteilung nicht ausreichender Versicherungssummen in D&amp;O-Innenhaftungsfällen</w:t>
      </w:r>
      <w:r w:rsidR="00C15DB0">
        <w:rPr>
          <w:rFonts w:ascii="Calibri" w:hAnsi="Calibri" w:cs="Calibri"/>
          <w:sz w:val="22"/>
          <w:szCs w:val="22"/>
          <w:lang w:val="de-DE"/>
        </w:rPr>
        <w:t xml:space="preserve">, </w:t>
      </w:r>
      <w:r w:rsidR="00134ECF" w:rsidRPr="00134ECF">
        <w:rPr>
          <w:rFonts w:ascii="Calibri" w:hAnsi="Calibri" w:cs="Calibri"/>
          <w:sz w:val="22"/>
          <w:szCs w:val="22"/>
          <w:lang w:val="de-DE"/>
        </w:rPr>
        <w:t xml:space="preserve">VersR 2014, </w:t>
      </w:r>
      <w:r w:rsidR="00134ECF">
        <w:rPr>
          <w:rFonts w:ascii="Calibri" w:hAnsi="Calibri" w:cs="Calibri"/>
          <w:sz w:val="22"/>
          <w:szCs w:val="22"/>
          <w:lang w:val="de-DE"/>
        </w:rPr>
        <w:t xml:space="preserve">pp. </w:t>
      </w:r>
      <w:r w:rsidR="00134ECF" w:rsidRPr="00134ECF">
        <w:rPr>
          <w:rFonts w:ascii="Calibri" w:hAnsi="Calibri" w:cs="Calibri"/>
          <w:sz w:val="22"/>
          <w:szCs w:val="22"/>
          <w:lang w:val="de-DE"/>
        </w:rPr>
        <w:t>1</w:t>
      </w:r>
      <w:r w:rsidR="00134ECF">
        <w:rPr>
          <w:rFonts w:ascii="Calibri" w:hAnsi="Calibri" w:cs="Calibri"/>
          <w:sz w:val="22"/>
          <w:szCs w:val="22"/>
          <w:lang w:val="de-DE"/>
        </w:rPr>
        <w:t>,</w:t>
      </w:r>
      <w:r w:rsidR="00134ECF" w:rsidRPr="00134ECF">
        <w:rPr>
          <w:rFonts w:ascii="Calibri" w:hAnsi="Calibri" w:cs="Calibri"/>
          <w:sz w:val="22"/>
          <w:szCs w:val="22"/>
          <w:lang w:val="de-DE"/>
        </w:rPr>
        <w:t xml:space="preserve"> 6; Peppersack</w:t>
      </w:r>
      <w:r w:rsidR="00C15DB0">
        <w:rPr>
          <w:rFonts w:ascii="Calibri" w:hAnsi="Calibri" w:cs="Calibri"/>
          <w:sz w:val="22"/>
          <w:szCs w:val="22"/>
          <w:lang w:val="de-DE"/>
        </w:rPr>
        <w:t xml:space="preserve">, </w:t>
      </w:r>
      <w:r w:rsidR="00C15DB0" w:rsidRPr="00C15DB0">
        <w:rPr>
          <w:rFonts w:ascii="Calibri" w:hAnsi="Calibri" w:cs="Calibri"/>
          <w:sz w:val="22"/>
          <w:szCs w:val="22"/>
          <w:lang w:val="de-DE"/>
        </w:rPr>
        <w:t>Die Problematik unzureichender Versicherungssummen in der D&amp;O-Versicherung – Modelle und Lösungsansätze</w:t>
      </w:r>
      <w:r w:rsidR="00C15DB0">
        <w:rPr>
          <w:rFonts w:ascii="Calibri" w:hAnsi="Calibri" w:cs="Calibri"/>
          <w:sz w:val="22"/>
          <w:szCs w:val="22"/>
          <w:lang w:val="de-DE"/>
        </w:rPr>
        <w:t>,</w:t>
      </w:r>
      <w:r w:rsidR="00134ECF">
        <w:rPr>
          <w:rFonts w:ascii="Calibri" w:hAnsi="Calibri" w:cs="Calibri"/>
          <w:sz w:val="22"/>
          <w:szCs w:val="22"/>
          <w:lang w:val="de-DE"/>
        </w:rPr>
        <w:t xml:space="preserve"> </w:t>
      </w:r>
      <w:r w:rsidR="00134ECF" w:rsidRPr="00134ECF">
        <w:rPr>
          <w:rFonts w:ascii="Calibri" w:hAnsi="Calibri" w:cs="Calibri"/>
          <w:sz w:val="22"/>
          <w:szCs w:val="22"/>
          <w:lang w:val="de-DE"/>
        </w:rPr>
        <w:t xml:space="preserve">r+s 2018, </w:t>
      </w:r>
      <w:r w:rsidR="00134ECF">
        <w:rPr>
          <w:rFonts w:ascii="Calibri" w:hAnsi="Calibri" w:cs="Calibri"/>
          <w:sz w:val="22"/>
          <w:szCs w:val="22"/>
          <w:lang w:val="de-DE"/>
        </w:rPr>
        <w:t>pp.</w:t>
      </w:r>
      <w:r w:rsidR="00134ECF" w:rsidRPr="00134ECF">
        <w:rPr>
          <w:rFonts w:ascii="Calibri" w:hAnsi="Calibri" w:cs="Calibri"/>
          <w:sz w:val="22"/>
          <w:szCs w:val="22"/>
          <w:lang w:val="de-DE"/>
        </w:rPr>
        <w:t xml:space="preserve"> 117</w:t>
      </w:r>
      <w:r w:rsidR="00134ECF">
        <w:rPr>
          <w:rFonts w:ascii="Calibri" w:hAnsi="Calibri" w:cs="Calibri"/>
          <w:sz w:val="22"/>
          <w:szCs w:val="22"/>
          <w:lang w:val="de-DE"/>
        </w:rPr>
        <w:t xml:space="preserve">, </w:t>
      </w:r>
      <w:r w:rsidR="00134ECF" w:rsidRPr="00134ECF">
        <w:rPr>
          <w:rFonts w:ascii="Calibri" w:hAnsi="Calibri" w:cs="Calibri"/>
          <w:sz w:val="22"/>
          <w:szCs w:val="22"/>
          <w:lang w:val="de-DE"/>
        </w:rPr>
        <w:t>123.</w:t>
      </w:r>
    </w:p>
  </w:footnote>
  <w:footnote w:id="39">
    <w:p w14:paraId="41B89993" w14:textId="3DB574DB" w:rsidR="00134ECF" w:rsidRPr="00C15DB0" w:rsidRDefault="00134ECF" w:rsidP="00134ECF">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Frankfurt Court of Appeal</w:t>
      </w:r>
      <w:r w:rsidRPr="00C15DB0">
        <w:rPr>
          <w:rFonts w:ascii="Calibri" w:hAnsi="Calibri" w:cs="Calibri"/>
          <w:sz w:val="22"/>
          <w:szCs w:val="22"/>
        </w:rPr>
        <w:t>, 29 November 2024 – 7 U 82/22, VersR 2025, pp. 290, 295.</w:t>
      </w:r>
    </w:p>
  </w:footnote>
  <w:footnote w:id="40">
    <w:p w14:paraId="4DBEA5F7" w14:textId="29983077" w:rsidR="006B0705" w:rsidRPr="00E6718C" w:rsidRDefault="006B0705" w:rsidP="006B0705">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E6718C">
        <w:rPr>
          <w:rFonts w:ascii="Calibri" w:hAnsi="Calibri" w:cs="Calibri"/>
          <w:sz w:val="22"/>
          <w:szCs w:val="22"/>
          <w:lang w:val="de-DE"/>
        </w:rPr>
        <w:t xml:space="preserve"> </w:t>
      </w:r>
      <w:r w:rsidR="00B4049C" w:rsidRPr="00E6718C">
        <w:rPr>
          <w:rFonts w:ascii="Calibri" w:hAnsi="Calibri" w:cs="Calibri"/>
          <w:sz w:val="22"/>
          <w:szCs w:val="22"/>
          <w:lang w:val="de-DE"/>
        </w:rPr>
        <w:t>R. Koch</w:t>
      </w:r>
      <w:r w:rsidR="00C15DB0">
        <w:rPr>
          <w:rFonts w:ascii="Calibri" w:hAnsi="Calibri" w:cs="Calibri"/>
          <w:sz w:val="22"/>
          <w:szCs w:val="22"/>
          <w:lang w:val="de-DE"/>
        </w:rPr>
        <w:t xml:space="preserve">, </w:t>
      </w:r>
      <w:r w:rsidR="00C15DB0" w:rsidRPr="00C15DB0">
        <w:rPr>
          <w:rFonts w:ascii="Calibri" w:hAnsi="Calibri" w:cs="Calibri"/>
          <w:sz w:val="22"/>
          <w:szCs w:val="22"/>
          <w:lang w:val="de-DE"/>
        </w:rPr>
        <w:t>Verteilung unzureichender Jahresversicherungssummen für Freistellung, Rechtsschutz und sonstige Kosten auf Organmitglieder in der D&amp;O-Versicherung</w:t>
      </w:r>
      <w:r w:rsidR="00C15DB0">
        <w:rPr>
          <w:rFonts w:ascii="Calibri" w:hAnsi="Calibri" w:cs="Calibri"/>
          <w:sz w:val="22"/>
          <w:szCs w:val="22"/>
          <w:lang w:val="de-DE"/>
        </w:rPr>
        <w:t>,</w:t>
      </w:r>
      <w:r w:rsidR="00B4049C" w:rsidRPr="00E6718C">
        <w:rPr>
          <w:rFonts w:ascii="Calibri" w:hAnsi="Calibri" w:cs="Calibri"/>
          <w:sz w:val="22"/>
          <w:szCs w:val="22"/>
          <w:lang w:val="de-DE"/>
        </w:rPr>
        <w:t xml:space="preserve"> </w:t>
      </w:r>
      <w:r w:rsidR="00C3013F" w:rsidRPr="00E6718C">
        <w:rPr>
          <w:rFonts w:ascii="Calibri" w:hAnsi="Calibri" w:cs="Calibri"/>
          <w:sz w:val="22"/>
          <w:szCs w:val="22"/>
          <w:lang w:val="de-DE"/>
        </w:rPr>
        <w:t>VersR 2026</w:t>
      </w:r>
      <w:r w:rsidR="00921135">
        <w:rPr>
          <w:rFonts w:ascii="Calibri" w:hAnsi="Calibri" w:cs="Calibri"/>
          <w:sz w:val="22"/>
          <w:szCs w:val="22"/>
          <w:lang w:val="de-DE"/>
        </w:rPr>
        <w:t>, pp. 670, 675</w:t>
      </w:r>
      <w:r w:rsidR="00AF3F2C">
        <w:rPr>
          <w:rFonts w:ascii="Calibri" w:hAnsi="Calibri" w:cs="Calibri"/>
          <w:sz w:val="22"/>
          <w:szCs w:val="22"/>
          <w:lang w:val="de-DE"/>
        </w:rPr>
        <w:t xml:space="preserve"> et seq.</w:t>
      </w:r>
    </w:p>
  </w:footnote>
  <w:footnote w:id="41">
    <w:p w14:paraId="254F9F8F" w14:textId="6F83A854" w:rsidR="006B0705" w:rsidRPr="00C15DB0" w:rsidRDefault="006B0705" w:rsidP="006B0705">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Cologne Court of Appeal</w:t>
      </w:r>
      <w:r w:rsidR="00C3013F" w:rsidRPr="00C15DB0">
        <w:rPr>
          <w:rFonts w:ascii="Calibri" w:hAnsi="Calibri" w:cs="Calibri"/>
          <w:sz w:val="22"/>
          <w:szCs w:val="22"/>
        </w:rPr>
        <w:t>, 10 February 2026 –9 U 49/25, VersR 2026, pp. 428 et seq.</w:t>
      </w:r>
    </w:p>
  </w:footnote>
  <w:footnote w:id="42">
    <w:p w14:paraId="0BC64267" w14:textId="72D703DA" w:rsidR="00FA323E" w:rsidRPr="00BD030B" w:rsidRDefault="00FA323E" w:rsidP="00FA323E">
      <w:pPr>
        <w:pStyle w:val="Footnote"/>
        <w:rPr>
          <w:rFonts w:ascii="Calibri" w:hAnsi="Calibri" w:cs="Calibri"/>
          <w:sz w:val="22"/>
          <w:szCs w:val="22"/>
        </w:rPr>
      </w:pPr>
      <w:r w:rsidRPr="00BD030B">
        <w:rPr>
          <w:rFonts w:ascii="Calibri" w:hAnsi="Calibri" w:cs="Calibri"/>
          <w:sz w:val="22"/>
          <w:szCs w:val="22"/>
          <w:vertAlign w:val="superscript"/>
        </w:rPr>
        <w:footnoteRef/>
      </w:r>
      <w:r w:rsidRPr="00BD030B">
        <w:rPr>
          <w:rFonts w:ascii="Calibri" w:hAnsi="Calibri" w:cs="Calibri"/>
          <w:sz w:val="22"/>
          <w:szCs w:val="22"/>
        </w:rPr>
        <w:t xml:space="preserve"> </w:t>
      </w:r>
      <w:r w:rsidR="00976BCD" w:rsidRPr="00645D15">
        <w:rPr>
          <w:rFonts w:ascii="Calibri" w:hAnsi="Calibri" w:cs="Calibri"/>
          <w:sz w:val="22"/>
          <w:szCs w:val="22"/>
        </w:rPr>
        <w:t xml:space="preserve">The appeal </w:t>
      </w:r>
      <w:r w:rsidR="00976BCD">
        <w:rPr>
          <w:rFonts w:ascii="Calibri" w:hAnsi="Calibri" w:cs="Calibri"/>
          <w:sz w:val="22"/>
          <w:szCs w:val="22"/>
        </w:rPr>
        <w:t xml:space="preserve">before the BGH </w:t>
      </w:r>
      <w:r w:rsidR="00976BCD" w:rsidRPr="00645D15">
        <w:rPr>
          <w:rFonts w:ascii="Calibri" w:hAnsi="Calibri" w:cs="Calibri"/>
          <w:sz w:val="22"/>
          <w:szCs w:val="22"/>
        </w:rPr>
        <w:t xml:space="preserve">is pending under case number </w:t>
      </w:r>
      <w:r w:rsidRPr="00FA323E">
        <w:rPr>
          <w:rFonts w:ascii="Calibri" w:hAnsi="Calibri" w:cs="Calibri"/>
          <w:sz w:val="22"/>
          <w:szCs w:val="22"/>
        </w:rPr>
        <w:t>IV ZR 51/26</w:t>
      </w:r>
      <w:r>
        <w:rPr>
          <w:rFonts w:ascii="Calibri" w:hAnsi="Calibri" w:cs="Calibri"/>
          <w:sz w:val="22"/>
          <w:szCs w:val="22"/>
        </w:rPr>
        <w:t>.</w:t>
      </w:r>
    </w:p>
  </w:footnote>
  <w:footnote w:id="43">
    <w:p w14:paraId="158556F5" w14:textId="478DDA5F" w:rsidR="00C3013F" w:rsidRPr="00C15DB0" w:rsidRDefault="00C3013F" w:rsidP="00C3013F">
      <w:pPr>
        <w:pStyle w:val="Footnote"/>
        <w:rPr>
          <w:rFonts w:ascii="Calibri" w:hAnsi="Calibri" w:cs="Calibri"/>
          <w:sz w:val="22"/>
          <w:szCs w:val="22"/>
        </w:rPr>
      </w:pPr>
      <w:r w:rsidRPr="00BD030B">
        <w:rPr>
          <w:rFonts w:ascii="Calibri" w:hAnsi="Calibri" w:cs="Calibri"/>
          <w:sz w:val="22"/>
          <w:szCs w:val="22"/>
          <w:vertAlign w:val="superscript"/>
        </w:rPr>
        <w:footnoteRef/>
      </w:r>
      <w:r w:rsidRPr="00C15DB0">
        <w:rPr>
          <w:rFonts w:ascii="Calibri" w:hAnsi="Calibri" w:cs="Calibri"/>
          <w:sz w:val="22"/>
          <w:szCs w:val="22"/>
        </w:rPr>
        <w:t xml:space="preserve"> </w:t>
      </w:r>
      <w:r w:rsidR="00C15DB0" w:rsidRPr="00C15DB0">
        <w:rPr>
          <w:rFonts w:ascii="Calibri" w:hAnsi="Calibri" w:cs="Calibri"/>
          <w:sz w:val="22"/>
          <w:szCs w:val="22"/>
        </w:rPr>
        <w:t>Cologne Court of Appeal</w:t>
      </w:r>
      <w:r w:rsidRPr="00C15DB0">
        <w:rPr>
          <w:rFonts w:ascii="Calibri" w:hAnsi="Calibri" w:cs="Calibri"/>
          <w:sz w:val="22"/>
          <w:szCs w:val="22"/>
        </w:rPr>
        <w:t>, 10 February 2026 –9 U 49/25, VersR 2026, pp. 428, 435 et seq.</w:t>
      </w:r>
    </w:p>
  </w:footnote>
  <w:footnote w:id="44">
    <w:p w14:paraId="279B1D8F" w14:textId="5CC63097" w:rsidR="00FA323E" w:rsidRPr="00810444" w:rsidRDefault="00FA323E" w:rsidP="00FA323E">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810444">
        <w:rPr>
          <w:rFonts w:ascii="Calibri" w:hAnsi="Calibri" w:cs="Calibri"/>
          <w:sz w:val="22"/>
          <w:szCs w:val="22"/>
          <w:lang w:val="de-DE"/>
        </w:rPr>
        <w:t xml:space="preserve"> </w:t>
      </w:r>
      <w:r w:rsidR="00C27F98" w:rsidRPr="00810444">
        <w:rPr>
          <w:rFonts w:ascii="Calibri" w:hAnsi="Calibri" w:cs="Calibri"/>
          <w:sz w:val="22"/>
          <w:szCs w:val="22"/>
          <w:lang w:val="de-DE"/>
        </w:rPr>
        <w:t xml:space="preserve">BGH, 7 February 2013 – IX ZR 138/11, </w:t>
      </w:r>
      <w:r w:rsidR="00810444" w:rsidRPr="00810444">
        <w:rPr>
          <w:rFonts w:ascii="Calibri" w:hAnsi="Calibri" w:cs="Calibri"/>
          <w:sz w:val="22"/>
          <w:szCs w:val="22"/>
          <w:lang w:val="de-DE"/>
        </w:rPr>
        <w:t>Neue Juristisc</w:t>
      </w:r>
      <w:r w:rsidR="00810444">
        <w:rPr>
          <w:rFonts w:ascii="Calibri" w:hAnsi="Calibri" w:cs="Calibri"/>
          <w:sz w:val="22"/>
          <w:szCs w:val="22"/>
          <w:lang w:val="de-DE"/>
        </w:rPr>
        <w:t>he Wochenschrift (</w:t>
      </w:r>
      <w:r w:rsidR="00C27F98" w:rsidRPr="00810444">
        <w:rPr>
          <w:rFonts w:ascii="Calibri" w:hAnsi="Calibri" w:cs="Calibri"/>
          <w:sz w:val="22"/>
          <w:szCs w:val="22"/>
          <w:lang w:val="de-DE"/>
        </w:rPr>
        <w:t>NJW</w:t>
      </w:r>
      <w:r w:rsidR="00810444">
        <w:rPr>
          <w:rFonts w:ascii="Calibri" w:hAnsi="Calibri" w:cs="Calibri"/>
          <w:sz w:val="22"/>
          <w:szCs w:val="22"/>
          <w:lang w:val="de-DE"/>
        </w:rPr>
        <w:t>)</w:t>
      </w:r>
      <w:r w:rsidR="00C27F98" w:rsidRPr="00810444">
        <w:rPr>
          <w:rFonts w:ascii="Calibri" w:hAnsi="Calibri" w:cs="Calibri"/>
          <w:sz w:val="22"/>
          <w:szCs w:val="22"/>
          <w:lang w:val="de-DE"/>
        </w:rPr>
        <w:t xml:space="preserve"> 2013, p. 1591 n. 9.</w:t>
      </w:r>
    </w:p>
  </w:footnote>
  <w:footnote w:id="45">
    <w:p w14:paraId="20B2C9F6" w14:textId="41D17950" w:rsidR="00C3013F" w:rsidRPr="00C3013F" w:rsidRDefault="00C3013F" w:rsidP="00C3013F">
      <w:pPr>
        <w:pStyle w:val="Footnote"/>
        <w:rPr>
          <w:rFonts w:ascii="Calibri" w:hAnsi="Calibri" w:cs="Calibri"/>
          <w:sz w:val="22"/>
          <w:szCs w:val="22"/>
        </w:rPr>
      </w:pPr>
      <w:r w:rsidRPr="00BD030B">
        <w:rPr>
          <w:rFonts w:ascii="Calibri" w:hAnsi="Calibri" w:cs="Calibri"/>
          <w:sz w:val="22"/>
          <w:szCs w:val="22"/>
          <w:vertAlign w:val="superscript"/>
        </w:rPr>
        <w:footnoteRef/>
      </w:r>
      <w:r w:rsidRPr="00C3013F">
        <w:rPr>
          <w:rFonts w:ascii="Calibri" w:hAnsi="Calibri" w:cs="Calibri"/>
          <w:sz w:val="22"/>
          <w:szCs w:val="22"/>
        </w:rPr>
        <w:t xml:space="preserve"> See also BGH, 18</w:t>
      </w:r>
      <w:r>
        <w:rPr>
          <w:rFonts w:ascii="Calibri" w:hAnsi="Calibri" w:cs="Calibri"/>
          <w:sz w:val="22"/>
          <w:szCs w:val="22"/>
        </w:rPr>
        <w:t xml:space="preserve"> January </w:t>
      </w:r>
      <w:r w:rsidRPr="00C3013F">
        <w:rPr>
          <w:rFonts w:ascii="Calibri" w:hAnsi="Calibri" w:cs="Calibri"/>
          <w:sz w:val="22"/>
          <w:szCs w:val="22"/>
        </w:rPr>
        <w:t xml:space="preserve">1973 </w:t>
      </w:r>
      <w:r>
        <w:rPr>
          <w:rFonts w:ascii="Calibri" w:hAnsi="Calibri" w:cs="Calibri"/>
          <w:sz w:val="22"/>
          <w:szCs w:val="22"/>
        </w:rPr>
        <w:t>–</w:t>
      </w:r>
      <w:r w:rsidRPr="00C3013F">
        <w:rPr>
          <w:rFonts w:ascii="Calibri" w:hAnsi="Calibri" w:cs="Calibri"/>
          <w:sz w:val="22"/>
          <w:szCs w:val="22"/>
        </w:rPr>
        <w:t xml:space="preserve"> II ZR 82/71, NJW 1973, </w:t>
      </w:r>
      <w:r>
        <w:rPr>
          <w:rFonts w:ascii="Calibri" w:hAnsi="Calibri" w:cs="Calibri"/>
          <w:sz w:val="22"/>
          <w:szCs w:val="22"/>
        </w:rPr>
        <w:t xml:space="preserve">pp. </w:t>
      </w:r>
      <w:r w:rsidRPr="00C3013F">
        <w:rPr>
          <w:rFonts w:ascii="Calibri" w:hAnsi="Calibri" w:cs="Calibri"/>
          <w:sz w:val="22"/>
          <w:szCs w:val="22"/>
        </w:rPr>
        <w:t>456, 457</w:t>
      </w:r>
      <w:r>
        <w:rPr>
          <w:rFonts w:ascii="Calibri" w:hAnsi="Calibri" w:cs="Calibri"/>
          <w:sz w:val="22"/>
          <w:szCs w:val="22"/>
        </w:rPr>
        <w:t>.</w:t>
      </w:r>
    </w:p>
  </w:footnote>
  <w:footnote w:id="46">
    <w:p w14:paraId="6ECF1568" w14:textId="5C4B613A" w:rsidR="00EE4DE5" w:rsidRPr="00E6718C" w:rsidRDefault="00EE4DE5" w:rsidP="00EE4DE5">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CC62F3">
        <w:rPr>
          <w:rFonts w:ascii="Calibri" w:hAnsi="Calibri" w:cs="Calibri"/>
          <w:sz w:val="22"/>
          <w:szCs w:val="22"/>
        </w:rPr>
        <w:t xml:space="preserve"> </w:t>
      </w:r>
      <w:r w:rsidR="00CC62F3" w:rsidRPr="00CC62F3">
        <w:rPr>
          <w:rFonts w:ascii="Calibri" w:hAnsi="Calibri" w:cs="Calibri"/>
          <w:sz w:val="22"/>
          <w:szCs w:val="22"/>
        </w:rPr>
        <w:t>Pant</w:t>
      </w:r>
      <w:r w:rsidR="00CC62F3">
        <w:rPr>
          <w:rFonts w:ascii="Calibri" w:hAnsi="Calibri" w:cs="Calibri"/>
          <w:sz w:val="22"/>
          <w:szCs w:val="22"/>
        </w:rPr>
        <w:t>/</w:t>
      </w:r>
      <w:r w:rsidR="00CC62F3" w:rsidRPr="00CC62F3">
        <w:rPr>
          <w:rFonts w:ascii="Calibri" w:hAnsi="Calibri" w:cs="Calibri"/>
          <w:sz w:val="22"/>
          <w:szCs w:val="22"/>
        </w:rPr>
        <w:t xml:space="preserve">Beller </w:t>
      </w:r>
      <w:r w:rsidR="00CC62F3">
        <w:rPr>
          <w:rFonts w:ascii="Calibri" w:hAnsi="Calibri" w:cs="Calibri"/>
          <w:sz w:val="22"/>
          <w:szCs w:val="22"/>
        </w:rPr>
        <w:t>–</w:t>
      </w:r>
      <w:r w:rsidR="00CC62F3" w:rsidRPr="00CC62F3">
        <w:rPr>
          <w:rFonts w:ascii="Calibri" w:hAnsi="Calibri" w:cs="Calibri"/>
          <w:sz w:val="22"/>
          <w:szCs w:val="22"/>
        </w:rPr>
        <w:t xml:space="preserve"> </w:t>
      </w:r>
      <w:r w:rsidR="00CC62F3">
        <w:rPr>
          <w:rFonts w:ascii="Calibri" w:hAnsi="Calibri" w:cs="Calibri"/>
          <w:sz w:val="22"/>
          <w:szCs w:val="22"/>
        </w:rPr>
        <w:t xml:space="preserve">in </w:t>
      </w:r>
      <w:r w:rsidR="00CC62F3" w:rsidRPr="00CC62F3">
        <w:rPr>
          <w:rFonts w:ascii="Calibri" w:hAnsi="Calibri" w:cs="Calibri"/>
          <w:sz w:val="22"/>
          <w:szCs w:val="22"/>
        </w:rPr>
        <w:t>Moosmayer/Lösler</w:t>
      </w:r>
      <w:r w:rsidR="0074622A">
        <w:rPr>
          <w:rFonts w:ascii="Calibri" w:hAnsi="Calibri" w:cs="Calibri"/>
          <w:sz w:val="22"/>
          <w:szCs w:val="22"/>
        </w:rPr>
        <w:t xml:space="preserve"> (</w:t>
      </w:r>
      <w:r w:rsidR="0009785C">
        <w:rPr>
          <w:rFonts w:ascii="Calibri" w:hAnsi="Calibri" w:cs="Calibri"/>
          <w:sz w:val="22"/>
          <w:szCs w:val="22"/>
        </w:rPr>
        <w:t>eds.)</w:t>
      </w:r>
      <w:r w:rsidR="00CC62F3">
        <w:rPr>
          <w:rFonts w:ascii="Calibri" w:hAnsi="Calibri" w:cs="Calibri"/>
          <w:sz w:val="22"/>
          <w:szCs w:val="22"/>
        </w:rPr>
        <w:t>,</w:t>
      </w:r>
      <w:r w:rsidR="0009785C">
        <w:rPr>
          <w:rFonts w:ascii="Calibri" w:hAnsi="Calibri" w:cs="Calibri"/>
          <w:sz w:val="22"/>
          <w:szCs w:val="22"/>
        </w:rPr>
        <w:t xml:space="preserve"> </w:t>
      </w:r>
      <w:r w:rsidR="00CC62F3" w:rsidRPr="00CC62F3">
        <w:rPr>
          <w:rFonts w:ascii="Calibri" w:hAnsi="Calibri" w:cs="Calibri"/>
          <w:sz w:val="22"/>
          <w:szCs w:val="22"/>
        </w:rPr>
        <w:t>Corporate Compliance</w:t>
      </w:r>
      <w:r w:rsidR="00CC62F3">
        <w:rPr>
          <w:rFonts w:ascii="Calibri" w:hAnsi="Calibri" w:cs="Calibri"/>
          <w:sz w:val="22"/>
          <w:szCs w:val="22"/>
        </w:rPr>
        <w:t xml:space="preserve">, 4th ed. </w:t>
      </w:r>
      <w:r w:rsidR="00CC62F3" w:rsidRPr="00CC62F3">
        <w:rPr>
          <w:rFonts w:ascii="Calibri" w:hAnsi="Calibri" w:cs="Calibri"/>
          <w:sz w:val="22"/>
          <w:szCs w:val="22"/>
        </w:rPr>
        <w:t>2024</w:t>
      </w:r>
      <w:r w:rsidR="00CC62F3">
        <w:rPr>
          <w:rFonts w:ascii="Calibri" w:hAnsi="Calibri" w:cs="Calibri"/>
          <w:sz w:val="22"/>
          <w:szCs w:val="22"/>
        </w:rPr>
        <w:t xml:space="preserve">, </w:t>
      </w:r>
      <w:r w:rsidR="00CC62F3" w:rsidRPr="00CC62F3">
        <w:rPr>
          <w:rFonts w:ascii="Calibri" w:hAnsi="Calibri" w:cs="Calibri"/>
          <w:sz w:val="22"/>
          <w:szCs w:val="22"/>
        </w:rPr>
        <w:t xml:space="preserve">§ 9. </w:t>
      </w:r>
      <w:r w:rsidR="00CC62F3" w:rsidRPr="00E6718C">
        <w:rPr>
          <w:rFonts w:ascii="Calibri" w:hAnsi="Calibri" w:cs="Calibri"/>
          <w:sz w:val="22"/>
          <w:szCs w:val="22"/>
          <w:lang w:val="de-DE"/>
        </w:rPr>
        <w:t>Versicherungslösungen n. 33.</w:t>
      </w:r>
    </w:p>
  </w:footnote>
  <w:footnote w:id="47">
    <w:p w14:paraId="383B8C4C" w14:textId="62620509" w:rsidR="007F28D0" w:rsidRPr="00424687" w:rsidRDefault="007F28D0" w:rsidP="007F28D0">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424687">
        <w:rPr>
          <w:rFonts w:ascii="Calibri" w:hAnsi="Calibri" w:cs="Calibri"/>
          <w:sz w:val="22"/>
          <w:szCs w:val="22"/>
          <w:lang w:val="de-DE"/>
        </w:rPr>
        <w:t xml:space="preserve"> </w:t>
      </w:r>
      <w:r w:rsidR="00424687" w:rsidRPr="00424687">
        <w:rPr>
          <w:rFonts w:ascii="Calibri" w:hAnsi="Calibri" w:cs="Calibri"/>
          <w:sz w:val="22"/>
          <w:szCs w:val="22"/>
          <w:lang w:val="de-DE"/>
        </w:rPr>
        <w:t>R. Koch</w:t>
      </w:r>
      <w:r w:rsidR="00C15DB0">
        <w:rPr>
          <w:rFonts w:ascii="Calibri" w:hAnsi="Calibri" w:cs="Calibri"/>
          <w:sz w:val="22"/>
          <w:szCs w:val="22"/>
          <w:lang w:val="de-DE"/>
        </w:rPr>
        <w:t xml:space="preserve">, </w:t>
      </w:r>
      <w:r w:rsidR="00C15DB0" w:rsidRPr="00C15DB0">
        <w:rPr>
          <w:rFonts w:ascii="Calibri" w:hAnsi="Calibri" w:cs="Calibri"/>
          <w:sz w:val="22"/>
          <w:szCs w:val="22"/>
          <w:lang w:val="de-DE"/>
        </w:rPr>
        <w:t>Und es ist wieder geschehen! - Anfechtung des Versicherungsvertrags wegen arglistiger Täuschung durch die D&amp;O-Versicherer trotz vereinbarten Anfechtungsverzichts</w:t>
      </w:r>
      <w:r w:rsidR="00C15DB0">
        <w:rPr>
          <w:rFonts w:ascii="Calibri" w:hAnsi="Calibri" w:cs="Calibri"/>
          <w:sz w:val="22"/>
          <w:szCs w:val="22"/>
          <w:lang w:val="de-DE"/>
        </w:rPr>
        <w:t xml:space="preserve">, </w:t>
      </w:r>
      <w:r w:rsidR="00424687" w:rsidRPr="00424687">
        <w:rPr>
          <w:rFonts w:ascii="Calibri" w:hAnsi="Calibri" w:cs="Calibri"/>
          <w:sz w:val="22"/>
          <w:szCs w:val="22"/>
          <w:lang w:val="de-DE"/>
        </w:rPr>
        <w:t xml:space="preserve">VersR 2026, pp. 550, </w:t>
      </w:r>
      <w:r w:rsidR="00424687">
        <w:rPr>
          <w:rFonts w:ascii="Calibri" w:hAnsi="Calibri" w:cs="Calibri"/>
          <w:sz w:val="22"/>
          <w:szCs w:val="22"/>
          <w:lang w:val="de-DE"/>
        </w:rPr>
        <w:t>558.</w:t>
      </w:r>
    </w:p>
  </w:footnote>
  <w:footnote w:id="48">
    <w:p w14:paraId="06C130C4" w14:textId="07D4EE67" w:rsidR="007F28D0" w:rsidRPr="00C15DB0" w:rsidRDefault="007F28D0" w:rsidP="007F28D0">
      <w:pPr>
        <w:pStyle w:val="Footnote"/>
        <w:rPr>
          <w:rFonts w:ascii="Calibri" w:hAnsi="Calibri" w:cs="Calibri"/>
          <w:b/>
          <w:bCs/>
          <w:lang w:val="de-DE"/>
        </w:rPr>
      </w:pPr>
      <w:r w:rsidRPr="00BD030B">
        <w:rPr>
          <w:rFonts w:ascii="Calibri" w:hAnsi="Calibri" w:cs="Calibri"/>
          <w:sz w:val="22"/>
          <w:szCs w:val="22"/>
          <w:vertAlign w:val="superscript"/>
        </w:rPr>
        <w:footnoteRef/>
      </w:r>
      <w:r w:rsidR="00424687" w:rsidRPr="00424687">
        <w:rPr>
          <w:rFonts w:ascii="Calibri" w:hAnsi="Calibri" w:cs="Calibri"/>
          <w:sz w:val="22"/>
          <w:szCs w:val="22"/>
          <w:lang w:val="de-DE"/>
        </w:rPr>
        <w:t xml:space="preserve"> R. Koch</w:t>
      </w:r>
      <w:r w:rsidR="00C15DB0">
        <w:rPr>
          <w:rFonts w:ascii="Calibri" w:hAnsi="Calibri" w:cs="Calibri"/>
          <w:sz w:val="22"/>
          <w:szCs w:val="22"/>
          <w:lang w:val="de-DE"/>
        </w:rPr>
        <w:t>,</w:t>
      </w:r>
      <w:r w:rsidR="00C15DB0" w:rsidRPr="00C15DB0">
        <w:rPr>
          <w:rFonts w:ascii="Calibri" w:hAnsi="Calibri" w:cs="Calibri"/>
          <w:sz w:val="22"/>
          <w:szCs w:val="22"/>
          <w:lang w:val="de-DE"/>
        </w:rPr>
        <w:t xml:space="preserve"> </w:t>
      </w:r>
      <w:r w:rsidR="00810444">
        <w:rPr>
          <w:rFonts w:ascii="Calibri" w:hAnsi="Calibri" w:cs="Calibri"/>
          <w:sz w:val="22"/>
          <w:szCs w:val="22"/>
          <w:lang w:val="de-DE"/>
        </w:rPr>
        <w:t>ibid.,</w:t>
      </w:r>
      <w:r w:rsidR="00C15DB0">
        <w:rPr>
          <w:rFonts w:ascii="Calibri" w:hAnsi="Calibri" w:cs="Calibri"/>
          <w:b/>
          <w:bCs/>
          <w:lang w:val="de-DE"/>
        </w:rPr>
        <w:t xml:space="preserve"> </w:t>
      </w:r>
      <w:r w:rsidR="00424687" w:rsidRPr="00424687">
        <w:rPr>
          <w:rFonts w:ascii="Calibri" w:hAnsi="Calibri" w:cs="Calibri"/>
          <w:sz w:val="22"/>
          <w:szCs w:val="22"/>
          <w:lang w:val="de-DE"/>
        </w:rPr>
        <w:t xml:space="preserve">VersR 2026, pp. 550, </w:t>
      </w:r>
      <w:r w:rsidR="00424687">
        <w:rPr>
          <w:rFonts w:ascii="Calibri" w:hAnsi="Calibri" w:cs="Calibri"/>
          <w:sz w:val="22"/>
          <w:szCs w:val="22"/>
          <w:lang w:val="de-DE"/>
        </w:rPr>
        <w:t>558 et seq.</w:t>
      </w:r>
    </w:p>
  </w:footnote>
  <w:footnote w:id="49">
    <w:p w14:paraId="4A7DAB91" w14:textId="7AA3EBDB" w:rsidR="007F28D0" w:rsidRPr="00424687" w:rsidRDefault="007F28D0" w:rsidP="007F28D0">
      <w:pPr>
        <w:pStyle w:val="Footnote"/>
        <w:rPr>
          <w:rFonts w:ascii="Calibri" w:hAnsi="Calibri" w:cs="Calibri"/>
          <w:sz w:val="22"/>
          <w:szCs w:val="22"/>
          <w:lang w:val="de-DE"/>
        </w:rPr>
      </w:pPr>
      <w:r w:rsidRPr="00BD030B">
        <w:rPr>
          <w:rFonts w:ascii="Calibri" w:hAnsi="Calibri" w:cs="Calibri"/>
          <w:sz w:val="22"/>
          <w:szCs w:val="22"/>
          <w:vertAlign w:val="superscript"/>
        </w:rPr>
        <w:footnoteRef/>
      </w:r>
      <w:r w:rsidRPr="00424687">
        <w:rPr>
          <w:rFonts w:ascii="Calibri" w:hAnsi="Calibri" w:cs="Calibri"/>
          <w:sz w:val="22"/>
          <w:szCs w:val="22"/>
          <w:lang w:val="de-DE"/>
        </w:rPr>
        <w:t xml:space="preserve"> </w:t>
      </w:r>
      <w:r w:rsidR="00424687" w:rsidRPr="00424687">
        <w:rPr>
          <w:rFonts w:ascii="Calibri" w:hAnsi="Calibri" w:cs="Calibri"/>
          <w:sz w:val="22"/>
          <w:szCs w:val="22"/>
          <w:lang w:val="de-DE"/>
        </w:rPr>
        <w:t>R. Koch</w:t>
      </w:r>
      <w:r w:rsidR="00C15DB0">
        <w:rPr>
          <w:rFonts w:ascii="Calibri" w:hAnsi="Calibri" w:cs="Calibri"/>
          <w:sz w:val="22"/>
          <w:szCs w:val="22"/>
          <w:lang w:val="de-DE"/>
        </w:rPr>
        <w:t xml:space="preserve">, </w:t>
      </w:r>
      <w:r w:rsidR="00810444">
        <w:rPr>
          <w:rFonts w:ascii="Calibri" w:hAnsi="Calibri" w:cs="Calibri"/>
          <w:sz w:val="22"/>
          <w:szCs w:val="22"/>
          <w:lang w:val="de-DE"/>
        </w:rPr>
        <w:t>ibid.</w:t>
      </w:r>
      <w:r w:rsidR="00C15DB0" w:rsidRPr="00C15DB0">
        <w:rPr>
          <w:rFonts w:ascii="Calibri" w:hAnsi="Calibri" w:cs="Calibri"/>
          <w:sz w:val="22"/>
          <w:szCs w:val="22"/>
          <w:lang w:val="de-DE"/>
        </w:rPr>
        <w:t xml:space="preserve">, </w:t>
      </w:r>
      <w:r w:rsidR="00424687" w:rsidRPr="00424687">
        <w:rPr>
          <w:rFonts w:ascii="Calibri" w:hAnsi="Calibri" w:cs="Calibri"/>
          <w:sz w:val="22"/>
          <w:szCs w:val="22"/>
          <w:lang w:val="de-DE"/>
        </w:rPr>
        <w:t xml:space="preserve">VersR 2026, pp. 550, </w:t>
      </w:r>
      <w:r w:rsidR="00424687">
        <w:rPr>
          <w:rFonts w:ascii="Calibri" w:hAnsi="Calibri" w:cs="Calibri"/>
          <w:sz w:val="22"/>
          <w:szCs w:val="22"/>
          <w:lang w:val="de-DE"/>
        </w:rPr>
        <w:t>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C13"/>
    <w:multiLevelType w:val="hybridMultilevel"/>
    <w:tmpl w:val="BF3629FC"/>
    <w:lvl w:ilvl="0" w:tplc="045CBAB2">
      <w:start w:val="1"/>
      <w:numFmt w:val="bullet"/>
      <w:lvlText w:val=""/>
      <w:lvlJc w:val="left"/>
      <w:pPr>
        <w:tabs>
          <w:tab w:val="num" w:pos="720"/>
        </w:tabs>
        <w:ind w:left="720" w:hanging="360"/>
      </w:pPr>
      <w:rPr>
        <w:rFonts w:ascii="Symbol" w:hAnsi="Symbol" w:hint="default"/>
      </w:rPr>
    </w:lvl>
    <w:lvl w:ilvl="1" w:tplc="E86622C6" w:tentative="1">
      <w:start w:val="1"/>
      <w:numFmt w:val="bullet"/>
      <w:lvlText w:val=""/>
      <w:lvlJc w:val="left"/>
      <w:pPr>
        <w:tabs>
          <w:tab w:val="num" w:pos="1440"/>
        </w:tabs>
        <w:ind w:left="1440" w:hanging="360"/>
      </w:pPr>
      <w:rPr>
        <w:rFonts w:ascii="Symbol" w:hAnsi="Symbol" w:hint="default"/>
      </w:rPr>
    </w:lvl>
    <w:lvl w:ilvl="2" w:tplc="7A2C60BE" w:tentative="1">
      <w:start w:val="1"/>
      <w:numFmt w:val="bullet"/>
      <w:lvlText w:val=""/>
      <w:lvlJc w:val="left"/>
      <w:pPr>
        <w:tabs>
          <w:tab w:val="num" w:pos="2160"/>
        </w:tabs>
        <w:ind w:left="2160" w:hanging="360"/>
      </w:pPr>
      <w:rPr>
        <w:rFonts w:ascii="Symbol" w:hAnsi="Symbol" w:hint="default"/>
      </w:rPr>
    </w:lvl>
    <w:lvl w:ilvl="3" w:tplc="E2DCBC64" w:tentative="1">
      <w:start w:val="1"/>
      <w:numFmt w:val="bullet"/>
      <w:lvlText w:val=""/>
      <w:lvlJc w:val="left"/>
      <w:pPr>
        <w:tabs>
          <w:tab w:val="num" w:pos="2880"/>
        </w:tabs>
        <w:ind w:left="2880" w:hanging="360"/>
      </w:pPr>
      <w:rPr>
        <w:rFonts w:ascii="Symbol" w:hAnsi="Symbol" w:hint="default"/>
      </w:rPr>
    </w:lvl>
    <w:lvl w:ilvl="4" w:tplc="CD3CFABE" w:tentative="1">
      <w:start w:val="1"/>
      <w:numFmt w:val="bullet"/>
      <w:lvlText w:val=""/>
      <w:lvlJc w:val="left"/>
      <w:pPr>
        <w:tabs>
          <w:tab w:val="num" w:pos="3600"/>
        </w:tabs>
        <w:ind w:left="3600" w:hanging="360"/>
      </w:pPr>
      <w:rPr>
        <w:rFonts w:ascii="Symbol" w:hAnsi="Symbol" w:hint="default"/>
      </w:rPr>
    </w:lvl>
    <w:lvl w:ilvl="5" w:tplc="0724454E" w:tentative="1">
      <w:start w:val="1"/>
      <w:numFmt w:val="bullet"/>
      <w:lvlText w:val=""/>
      <w:lvlJc w:val="left"/>
      <w:pPr>
        <w:tabs>
          <w:tab w:val="num" w:pos="4320"/>
        </w:tabs>
        <w:ind w:left="4320" w:hanging="360"/>
      </w:pPr>
      <w:rPr>
        <w:rFonts w:ascii="Symbol" w:hAnsi="Symbol" w:hint="default"/>
      </w:rPr>
    </w:lvl>
    <w:lvl w:ilvl="6" w:tplc="3F7E3E1E" w:tentative="1">
      <w:start w:val="1"/>
      <w:numFmt w:val="bullet"/>
      <w:lvlText w:val=""/>
      <w:lvlJc w:val="left"/>
      <w:pPr>
        <w:tabs>
          <w:tab w:val="num" w:pos="5040"/>
        </w:tabs>
        <w:ind w:left="5040" w:hanging="360"/>
      </w:pPr>
      <w:rPr>
        <w:rFonts w:ascii="Symbol" w:hAnsi="Symbol" w:hint="default"/>
      </w:rPr>
    </w:lvl>
    <w:lvl w:ilvl="7" w:tplc="90F219A0" w:tentative="1">
      <w:start w:val="1"/>
      <w:numFmt w:val="bullet"/>
      <w:lvlText w:val=""/>
      <w:lvlJc w:val="left"/>
      <w:pPr>
        <w:tabs>
          <w:tab w:val="num" w:pos="5760"/>
        </w:tabs>
        <w:ind w:left="5760" w:hanging="360"/>
      </w:pPr>
      <w:rPr>
        <w:rFonts w:ascii="Symbol" w:hAnsi="Symbol" w:hint="default"/>
      </w:rPr>
    </w:lvl>
    <w:lvl w:ilvl="8" w:tplc="807CA26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6E3081"/>
    <w:multiLevelType w:val="hybridMultilevel"/>
    <w:tmpl w:val="CF56CB2C"/>
    <w:lvl w:ilvl="0" w:tplc="038ECF5C">
      <w:start w:val="1"/>
      <w:numFmt w:val="bullet"/>
      <w:lvlText w:val=""/>
      <w:lvlJc w:val="left"/>
      <w:pPr>
        <w:tabs>
          <w:tab w:val="num" w:pos="720"/>
        </w:tabs>
        <w:ind w:left="720" w:hanging="360"/>
      </w:pPr>
      <w:rPr>
        <w:rFonts w:ascii="Symbol" w:hAnsi="Symbol" w:hint="default"/>
      </w:rPr>
    </w:lvl>
    <w:lvl w:ilvl="1" w:tplc="8312C898" w:tentative="1">
      <w:start w:val="1"/>
      <w:numFmt w:val="bullet"/>
      <w:lvlText w:val=""/>
      <w:lvlJc w:val="left"/>
      <w:pPr>
        <w:tabs>
          <w:tab w:val="num" w:pos="1440"/>
        </w:tabs>
        <w:ind w:left="1440" w:hanging="360"/>
      </w:pPr>
      <w:rPr>
        <w:rFonts w:ascii="Symbol" w:hAnsi="Symbol" w:hint="default"/>
      </w:rPr>
    </w:lvl>
    <w:lvl w:ilvl="2" w:tplc="1C38E0D2">
      <w:start w:val="1"/>
      <w:numFmt w:val="bullet"/>
      <w:lvlText w:val=""/>
      <w:lvlJc w:val="left"/>
      <w:pPr>
        <w:tabs>
          <w:tab w:val="num" w:pos="2160"/>
        </w:tabs>
        <w:ind w:left="2160" w:hanging="360"/>
      </w:pPr>
      <w:rPr>
        <w:rFonts w:ascii="Symbol" w:hAnsi="Symbol" w:hint="default"/>
      </w:rPr>
    </w:lvl>
    <w:lvl w:ilvl="3" w:tplc="7F4CEBB6" w:tentative="1">
      <w:start w:val="1"/>
      <w:numFmt w:val="bullet"/>
      <w:lvlText w:val=""/>
      <w:lvlJc w:val="left"/>
      <w:pPr>
        <w:tabs>
          <w:tab w:val="num" w:pos="2880"/>
        </w:tabs>
        <w:ind w:left="2880" w:hanging="360"/>
      </w:pPr>
      <w:rPr>
        <w:rFonts w:ascii="Symbol" w:hAnsi="Symbol" w:hint="default"/>
      </w:rPr>
    </w:lvl>
    <w:lvl w:ilvl="4" w:tplc="55B6BE9A" w:tentative="1">
      <w:start w:val="1"/>
      <w:numFmt w:val="bullet"/>
      <w:lvlText w:val=""/>
      <w:lvlJc w:val="left"/>
      <w:pPr>
        <w:tabs>
          <w:tab w:val="num" w:pos="3600"/>
        </w:tabs>
        <w:ind w:left="3600" w:hanging="360"/>
      </w:pPr>
      <w:rPr>
        <w:rFonts w:ascii="Symbol" w:hAnsi="Symbol" w:hint="default"/>
      </w:rPr>
    </w:lvl>
    <w:lvl w:ilvl="5" w:tplc="A9944116" w:tentative="1">
      <w:start w:val="1"/>
      <w:numFmt w:val="bullet"/>
      <w:lvlText w:val=""/>
      <w:lvlJc w:val="left"/>
      <w:pPr>
        <w:tabs>
          <w:tab w:val="num" w:pos="4320"/>
        </w:tabs>
        <w:ind w:left="4320" w:hanging="360"/>
      </w:pPr>
      <w:rPr>
        <w:rFonts w:ascii="Symbol" w:hAnsi="Symbol" w:hint="default"/>
      </w:rPr>
    </w:lvl>
    <w:lvl w:ilvl="6" w:tplc="758E6290" w:tentative="1">
      <w:start w:val="1"/>
      <w:numFmt w:val="bullet"/>
      <w:lvlText w:val=""/>
      <w:lvlJc w:val="left"/>
      <w:pPr>
        <w:tabs>
          <w:tab w:val="num" w:pos="5040"/>
        </w:tabs>
        <w:ind w:left="5040" w:hanging="360"/>
      </w:pPr>
      <w:rPr>
        <w:rFonts w:ascii="Symbol" w:hAnsi="Symbol" w:hint="default"/>
      </w:rPr>
    </w:lvl>
    <w:lvl w:ilvl="7" w:tplc="96584CD2" w:tentative="1">
      <w:start w:val="1"/>
      <w:numFmt w:val="bullet"/>
      <w:lvlText w:val=""/>
      <w:lvlJc w:val="left"/>
      <w:pPr>
        <w:tabs>
          <w:tab w:val="num" w:pos="5760"/>
        </w:tabs>
        <w:ind w:left="5760" w:hanging="360"/>
      </w:pPr>
      <w:rPr>
        <w:rFonts w:ascii="Symbol" w:hAnsi="Symbol" w:hint="default"/>
      </w:rPr>
    </w:lvl>
    <w:lvl w:ilvl="8" w:tplc="9A94C2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9A14EA"/>
    <w:multiLevelType w:val="hybridMultilevel"/>
    <w:tmpl w:val="156C3416"/>
    <w:lvl w:ilvl="0" w:tplc="9F1090FC">
      <w:start w:val="1"/>
      <w:numFmt w:val="bullet"/>
      <w:lvlText w:val=""/>
      <w:lvlJc w:val="left"/>
      <w:pPr>
        <w:tabs>
          <w:tab w:val="num" w:pos="720"/>
        </w:tabs>
        <w:ind w:left="720" w:hanging="360"/>
      </w:pPr>
      <w:rPr>
        <w:rFonts w:ascii="Symbol" w:hAnsi="Symbol" w:hint="default"/>
      </w:rPr>
    </w:lvl>
    <w:lvl w:ilvl="1" w:tplc="8EF82804" w:tentative="1">
      <w:start w:val="1"/>
      <w:numFmt w:val="bullet"/>
      <w:lvlText w:val=""/>
      <w:lvlJc w:val="left"/>
      <w:pPr>
        <w:tabs>
          <w:tab w:val="num" w:pos="1440"/>
        </w:tabs>
        <w:ind w:left="1440" w:hanging="360"/>
      </w:pPr>
      <w:rPr>
        <w:rFonts w:ascii="Symbol" w:hAnsi="Symbol" w:hint="default"/>
      </w:rPr>
    </w:lvl>
    <w:lvl w:ilvl="2" w:tplc="99942EFC" w:tentative="1">
      <w:start w:val="1"/>
      <w:numFmt w:val="bullet"/>
      <w:lvlText w:val=""/>
      <w:lvlJc w:val="left"/>
      <w:pPr>
        <w:tabs>
          <w:tab w:val="num" w:pos="2160"/>
        </w:tabs>
        <w:ind w:left="2160" w:hanging="360"/>
      </w:pPr>
      <w:rPr>
        <w:rFonts w:ascii="Symbol" w:hAnsi="Symbol" w:hint="default"/>
      </w:rPr>
    </w:lvl>
    <w:lvl w:ilvl="3" w:tplc="F37681B8" w:tentative="1">
      <w:start w:val="1"/>
      <w:numFmt w:val="bullet"/>
      <w:lvlText w:val=""/>
      <w:lvlJc w:val="left"/>
      <w:pPr>
        <w:tabs>
          <w:tab w:val="num" w:pos="2880"/>
        </w:tabs>
        <w:ind w:left="2880" w:hanging="360"/>
      </w:pPr>
      <w:rPr>
        <w:rFonts w:ascii="Symbol" w:hAnsi="Symbol" w:hint="default"/>
      </w:rPr>
    </w:lvl>
    <w:lvl w:ilvl="4" w:tplc="D94CEFD8" w:tentative="1">
      <w:start w:val="1"/>
      <w:numFmt w:val="bullet"/>
      <w:lvlText w:val=""/>
      <w:lvlJc w:val="left"/>
      <w:pPr>
        <w:tabs>
          <w:tab w:val="num" w:pos="3600"/>
        </w:tabs>
        <w:ind w:left="3600" w:hanging="360"/>
      </w:pPr>
      <w:rPr>
        <w:rFonts w:ascii="Symbol" w:hAnsi="Symbol" w:hint="default"/>
      </w:rPr>
    </w:lvl>
    <w:lvl w:ilvl="5" w:tplc="B3925BA2" w:tentative="1">
      <w:start w:val="1"/>
      <w:numFmt w:val="bullet"/>
      <w:lvlText w:val=""/>
      <w:lvlJc w:val="left"/>
      <w:pPr>
        <w:tabs>
          <w:tab w:val="num" w:pos="4320"/>
        </w:tabs>
        <w:ind w:left="4320" w:hanging="360"/>
      </w:pPr>
      <w:rPr>
        <w:rFonts w:ascii="Symbol" w:hAnsi="Symbol" w:hint="default"/>
      </w:rPr>
    </w:lvl>
    <w:lvl w:ilvl="6" w:tplc="C5480568" w:tentative="1">
      <w:start w:val="1"/>
      <w:numFmt w:val="bullet"/>
      <w:lvlText w:val=""/>
      <w:lvlJc w:val="left"/>
      <w:pPr>
        <w:tabs>
          <w:tab w:val="num" w:pos="5040"/>
        </w:tabs>
        <w:ind w:left="5040" w:hanging="360"/>
      </w:pPr>
      <w:rPr>
        <w:rFonts w:ascii="Symbol" w:hAnsi="Symbol" w:hint="default"/>
      </w:rPr>
    </w:lvl>
    <w:lvl w:ilvl="7" w:tplc="D80E2020" w:tentative="1">
      <w:start w:val="1"/>
      <w:numFmt w:val="bullet"/>
      <w:lvlText w:val=""/>
      <w:lvlJc w:val="left"/>
      <w:pPr>
        <w:tabs>
          <w:tab w:val="num" w:pos="5760"/>
        </w:tabs>
        <w:ind w:left="5760" w:hanging="360"/>
      </w:pPr>
      <w:rPr>
        <w:rFonts w:ascii="Symbol" w:hAnsi="Symbol" w:hint="default"/>
      </w:rPr>
    </w:lvl>
    <w:lvl w:ilvl="8" w:tplc="DEFC19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9E3C07"/>
    <w:multiLevelType w:val="hybridMultilevel"/>
    <w:tmpl w:val="26807570"/>
    <w:lvl w:ilvl="0" w:tplc="BAB8D94E">
      <w:start w:val="1"/>
      <w:numFmt w:val="bullet"/>
      <w:lvlText w:val=""/>
      <w:lvlJc w:val="left"/>
      <w:pPr>
        <w:tabs>
          <w:tab w:val="num" w:pos="720"/>
        </w:tabs>
        <w:ind w:left="720" w:hanging="360"/>
      </w:pPr>
      <w:rPr>
        <w:rFonts w:ascii="Symbol" w:hAnsi="Symbol" w:hint="default"/>
      </w:rPr>
    </w:lvl>
    <w:lvl w:ilvl="1" w:tplc="2BA4A928" w:tentative="1">
      <w:start w:val="1"/>
      <w:numFmt w:val="bullet"/>
      <w:lvlText w:val=""/>
      <w:lvlJc w:val="left"/>
      <w:pPr>
        <w:tabs>
          <w:tab w:val="num" w:pos="1440"/>
        </w:tabs>
        <w:ind w:left="1440" w:hanging="360"/>
      </w:pPr>
      <w:rPr>
        <w:rFonts w:ascii="Symbol" w:hAnsi="Symbol" w:hint="default"/>
      </w:rPr>
    </w:lvl>
    <w:lvl w:ilvl="2" w:tplc="E9A8887E" w:tentative="1">
      <w:start w:val="1"/>
      <w:numFmt w:val="bullet"/>
      <w:lvlText w:val=""/>
      <w:lvlJc w:val="left"/>
      <w:pPr>
        <w:tabs>
          <w:tab w:val="num" w:pos="2160"/>
        </w:tabs>
        <w:ind w:left="2160" w:hanging="360"/>
      </w:pPr>
      <w:rPr>
        <w:rFonts w:ascii="Symbol" w:hAnsi="Symbol" w:hint="default"/>
      </w:rPr>
    </w:lvl>
    <w:lvl w:ilvl="3" w:tplc="F16E9B8C" w:tentative="1">
      <w:start w:val="1"/>
      <w:numFmt w:val="bullet"/>
      <w:lvlText w:val=""/>
      <w:lvlJc w:val="left"/>
      <w:pPr>
        <w:tabs>
          <w:tab w:val="num" w:pos="2880"/>
        </w:tabs>
        <w:ind w:left="2880" w:hanging="360"/>
      </w:pPr>
      <w:rPr>
        <w:rFonts w:ascii="Symbol" w:hAnsi="Symbol" w:hint="default"/>
      </w:rPr>
    </w:lvl>
    <w:lvl w:ilvl="4" w:tplc="C81A12C0" w:tentative="1">
      <w:start w:val="1"/>
      <w:numFmt w:val="bullet"/>
      <w:lvlText w:val=""/>
      <w:lvlJc w:val="left"/>
      <w:pPr>
        <w:tabs>
          <w:tab w:val="num" w:pos="3600"/>
        </w:tabs>
        <w:ind w:left="3600" w:hanging="360"/>
      </w:pPr>
      <w:rPr>
        <w:rFonts w:ascii="Symbol" w:hAnsi="Symbol" w:hint="default"/>
      </w:rPr>
    </w:lvl>
    <w:lvl w:ilvl="5" w:tplc="AB788A50" w:tentative="1">
      <w:start w:val="1"/>
      <w:numFmt w:val="bullet"/>
      <w:lvlText w:val=""/>
      <w:lvlJc w:val="left"/>
      <w:pPr>
        <w:tabs>
          <w:tab w:val="num" w:pos="4320"/>
        </w:tabs>
        <w:ind w:left="4320" w:hanging="360"/>
      </w:pPr>
      <w:rPr>
        <w:rFonts w:ascii="Symbol" w:hAnsi="Symbol" w:hint="default"/>
      </w:rPr>
    </w:lvl>
    <w:lvl w:ilvl="6" w:tplc="9A26112E" w:tentative="1">
      <w:start w:val="1"/>
      <w:numFmt w:val="bullet"/>
      <w:lvlText w:val=""/>
      <w:lvlJc w:val="left"/>
      <w:pPr>
        <w:tabs>
          <w:tab w:val="num" w:pos="5040"/>
        </w:tabs>
        <w:ind w:left="5040" w:hanging="360"/>
      </w:pPr>
      <w:rPr>
        <w:rFonts w:ascii="Symbol" w:hAnsi="Symbol" w:hint="default"/>
      </w:rPr>
    </w:lvl>
    <w:lvl w:ilvl="7" w:tplc="878A59AA" w:tentative="1">
      <w:start w:val="1"/>
      <w:numFmt w:val="bullet"/>
      <w:lvlText w:val=""/>
      <w:lvlJc w:val="left"/>
      <w:pPr>
        <w:tabs>
          <w:tab w:val="num" w:pos="5760"/>
        </w:tabs>
        <w:ind w:left="5760" w:hanging="360"/>
      </w:pPr>
      <w:rPr>
        <w:rFonts w:ascii="Symbol" w:hAnsi="Symbol" w:hint="default"/>
      </w:rPr>
    </w:lvl>
    <w:lvl w:ilvl="8" w:tplc="537AF0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5C1EAC"/>
    <w:multiLevelType w:val="hybridMultilevel"/>
    <w:tmpl w:val="DD28C0D2"/>
    <w:lvl w:ilvl="0" w:tplc="BD446850">
      <w:start w:val="1"/>
      <w:numFmt w:val="bullet"/>
      <w:lvlText w:val=""/>
      <w:lvlJc w:val="left"/>
      <w:pPr>
        <w:tabs>
          <w:tab w:val="num" w:pos="720"/>
        </w:tabs>
        <w:ind w:left="720" w:hanging="360"/>
      </w:pPr>
      <w:rPr>
        <w:rFonts w:ascii="Symbol" w:hAnsi="Symbol" w:hint="default"/>
      </w:rPr>
    </w:lvl>
    <w:lvl w:ilvl="1" w:tplc="45D0ACC8">
      <w:start w:val="1"/>
      <w:numFmt w:val="bullet"/>
      <w:lvlText w:val=""/>
      <w:lvlJc w:val="left"/>
      <w:pPr>
        <w:tabs>
          <w:tab w:val="num" w:pos="1440"/>
        </w:tabs>
        <w:ind w:left="1440" w:hanging="360"/>
      </w:pPr>
      <w:rPr>
        <w:rFonts w:ascii="Symbol" w:hAnsi="Symbol" w:hint="default"/>
      </w:rPr>
    </w:lvl>
    <w:lvl w:ilvl="2" w:tplc="048821B2">
      <w:numFmt w:val="bullet"/>
      <w:lvlText w:val="•"/>
      <w:lvlJc w:val="left"/>
      <w:pPr>
        <w:tabs>
          <w:tab w:val="num" w:pos="2160"/>
        </w:tabs>
        <w:ind w:left="2160" w:hanging="360"/>
      </w:pPr>
      <w:rPr>
        <w:rFonts w:ascii="Arial" w:hAnsi="Arial" w:hint="default"/>
      </w:rPr>
    </w:lvl>
    <w:lvl w:ilvl="3" w:tplc="EF38E562" w:tentative="1">
      <w:start w:val="1"/>
      <w:numFmt w:val="bullet"/>
      <w:lvlText w:val=""/>
      <w:lvlJc w:val="left"/>
      <w:pPr>
        <w:tabs>
          <w:tab w:val="num" w:pos="2880"/>
        </w:tabs>
        <w:ind w:left="2880" w:hanging="360"/>
      </w:pPr>
      <w:rPr>
        <w:rFonts w:ascii="Symbol" w:hAnsi="Symbol" w:hint="default"/>
      </w:rPr>
    </w:lvl>
    <w:lvl w:ilvl="4" w:tplc="7584A56C" w:tentative="1">
      <w:start w:val="1"/>
      <w:numFmt w:val="bullet"/>
      <w:lvlText w:val=""/>
      <w:lvlJc w:val="left"/>
      <w:pPr>
        <w:tabs>
          <w:tab w:val="num" w:pos="3600"/>
        </w:tabs>
        <w:ind w:left="3600" w:hanging="360"/>
      </w:pPr>
      <w:rPr>
        <w:rFonts w:ascii="Symbol" w:hAnsi="Symbol" w:hint="default"/>
      </w:rPr>
    </w:lvl>
    <w:lvl w:ilvl="5" w:tplc="A87C1856" w:tentative="1">
      <w:start w:val="1"/>
      <w:numFmt w:val="bullet"/>
      <w:lvlText w:val=""/>
      <w:lvlJc w:val="left"/>
      <w:pPr>
        <w:tabs>
          <w:tab w:val="num" w:pos="4320"/>
        </w:tabs>
        <w:ind w:left="4320" w:hanging="360"/>
      </w:pPr>
      <w:rPr>
        <w:rFonts w:ascii="Symbol" w:hAnsi="Symbol" w:hint="default"/>
      </w:rPr>
    </w:lvl>
    <w:lvl w:ilvl="6" w:tplc="EB781F6E" w:tentative="1">
      <w:start w:val="1"/>
      <w:numFmt w:val="bullet"/>
      <w:lvlText w:val=""/>
      <w:lvlJc w:val="left"/>
      <w:pPr>
        <w:tabs>
          <w:tab w:val="num" w:pos="5040"/>
        </w:tabs>
        <w:ind w:left="5040" w:hanging="360"/>
      </w:pPr>
      <w:rPr>
        <w:rFonts w:ascii="Symbol" w:hAnsi="Symbol" w:hint="default"/>
      </w:rPr>
    </w:lvl>
    <w:lvl w:ilvl="7" w:tplc="1F26630E" w:tentative="1">
      <w:start w:val="1"/>
      <w:numFmt w:val="bullet"/>
      <w:lvlText w:val=""/>
      <w:lvlJc w:val="left"/>
      <w:pPr>
        <w:tabs>
          <w:tab w:val="num" w:pos="5760"/>
        </w:tabs>
        <w:ind w:left="5760" w:hanging="360"/>
      </w:pPr>
      <w:rPr>
        <w:rFonts w:ascii="Symbol" w:hAnsi="Symbol" w:hint="default"/>
      </w:rPr>
    </w:lvl>
    <w:lvl w:ilvl="8" w:tplc="8C38E4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0B376CB"/>
    <w:multiLevelType w:val="hybridMultilevel"/>
    <w:tmpl w:val="5952F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6B6A44"/>
    <w:multiLevelType w:val="hybridMultilevel"/>
    <w:tmpl w:val="F4400154"/>
    <w:lvl w:ilvl="0" w:tplc="401CEA9C">
      <w:start w:val="1"/>
      <w:numFmt w:val="bullet"/>
      <w:lvlText w:val=""/>
      <w:lvlJc w:val="left"/>
      <w:pPr>
        <w:tabs>
          <w:tab w:val="num" w:pos="720"/>
        </w:tabs>
        <w:ind w:left="720" w:hanging="360"/>
      </w:pPr>
      <w:rPr>
        <w:rFonts w:ascii="Symbol" w:hAnsi="Symbol" w:hint="default"/>
      </w:rPr>
    </w:lvl>
    <w:lvl w:ilvl="1" w:tplc="E3F49722" w:tentative="1">
      <w:start w:val="1"/>
      <w:numFmt w:val="bullet"/>
      <w:lvlText w:val=""/>
      <w:lvlJc w:val="left"/>
      <w:pPr>
        <w:tabs>
          <w:tab w:val="num" w:pos="1440"/>
        </w:tabs>
        <w:ind w:left="1440" w:hanging="360"/>
      </w:pPr>
      <w:rPr>
        <w:rFonts w:ascii="Symbol" w:hAnsi="Symbol" w:hint="default"/>
      </w:rPr>
    </w:lvl>
    <w:lvl w:ilvl="2" w:tplc="95C409C8" w:tentative="1">
      <w:start w:val="1"/>
      <w:numFmt w:val="bullet"/>
      <w:lvlText w:val=""/>
      <w:lvlJc w:val="left"/>
      <w:pPr>
        <w:tabs>
          <w:tab w:val="num" w:pos="2160"/>
        </w:tabs>
        <w:ind w:left="2160" w:hanging="360"/>
      </w:pPr>
      <w:rPr>
        <w:rFonts w:ascii="Symbol" w:hAnsi="Symbol" w:hint="default"/>
      </w:rPr>
    </w:lvl>
    <w:lvl w:ilvl="3" w:tplc="B00C3554" w:tentative="1">
      <w:start w:val="1"/>
      <w:numFmt w:val="bullet"/>
      <w:lvlText w:val=""/>
      <w:lvlJc w:val="left"/>
      <w:pPr>
        <w:tabs>
          <w:tab w:val="num" w:pos="2880"/>
        </w:tabs>
        <w:ind w:left="2880" w:hanging="360"/>
      </w:pPr>
      <w:rPr>
        <w:rFonts w:ascii="Symbol" w:hAnsi="Symbol" w:hint="default"/>
      </w:rPr>
    </w:lvl>
    <w:lvl w:ilvl="4" w:tplc="3BDCBBFC" w:tentative="1">
      <w:start w:val="1"/>
      <w:numFmt w:val="bullet"/>
      <w:lvlText w:val=""/>
      <w:lvlJc w:val="left"/>
      <w:pPr>
        <w:tabs>
          <w:tab w:val="num" w:pos="3600"/>
        </w:tabs>
        <w:ind w:left="3600" w:hanging="360"/>
      </w:pPr>
      <w:rPr>
        <w:rFonts w:ascii="Symbol" w:hAnsi="Symbol" w:hint="default"/>
      </w:rPr>
    </w:lvl>
    <w:lvl w:ilvl="5" w:tplc="5BB83A20" w:tentative="1">
      <w:start w:val="1"/>
      <w:numFmt w:val="bullet"/>
      <w:lvlText w:val=""/>
      <w:lvlJc w:val="left"/>
      <w:pPr>
        <w:tabs>
          <w:tab w:val="num" w:pos="4320"/>
        </w:tabs>
        <w:ind w:left="4320" w:hanging="360"/>
      </w:pPr>
      <w:rPr>
        <w:rFonts w:ascii="Symbol" w:hAnsi="Symbol" w:hint="default"/>
      </w:rPr>
    </w:lvl>
    <w:lvl w:ilvl="6" w:tplc="4AE6D5BC" w:tentative="1">
      <w:start w:val="1"/>
      <w:numFmt w:val="bullet"/>
      <w:lvlText w:val=""/>
      <w:lvlJc w:val="left"/>
      <w:pPr>
        <w:tabs>
          <w:tab w:val="num" w:pos="5040"/>
        </w:tabs>
        <w:ind w:left="5040" w:hanging="360"/>
      </w:pPr>
      <w:rPr>
        <w:rFonts w:ascii="Symbol" w:hAnsi="Symbol" w:hint="default"/>
      </w:rPr>
    </w:lvl>
    <w:lvl w:ilvl="7" w:tplc="27B25E98" w:tentative="1">
      <w:start w:val="1"/>
      <w:numFmt w:val="bullet"/>
      <w:lvlText w:val=""/>
      <w:lvlJc w:val="left"/>
      <w:pPr>
        <w:tabs>
          <w:tab w:val="num" w:pos="5760"/>
        </w:tabs>
        <w:ind w:left="5760" w:hanging="360"/>
      </w:pPr>
      <w:rPr>
        <w:rFonts w:ascii="Symbol" w:hAnsi="Symbol" w:hint="default"/>
      </w:rPr>
    </w:lvl>
    <w:lvl w:ilvl="8" w:tplc="4724BF2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7C23C94"/>
    <w:multiLevelType w:val="hybridMultilevel"/>
    <w:tmpl w:val="4EDCD9AA"/>
    <w:lvl w:ilvl="0" w:tplc="EA02FFB4">
      <w:start w:val="1"/>
      <w:numFmt w:val="bullet"/>
      <w:lvlText w:val=""/>
      <w:lvlJc w:val="left"/>
      <w:pPr>
        <w:tabs>
          <w:tab w:val="num" w:pos="720"/>
        </w:tabs>
        <w:ind w:left="720" w:hanging="360"/>
      </w:pPr>
      <w:rPr>
        <w:rFonts w:ascii="Symbol" w:hAnsi="Symbol" w:hint="default"/>
      </w:rPr>
    </w:lvl>
    <w:lvl w:ilvl="1" w:tplc="29C49C7A" w:tentative="1">
      <w:start w:val="1"/>
      <w:numFmt w:val="bullet"/>
      <w:lvlText w:val=""/>
      <w:lvlJc w:val="left"/>
      <w:pPr>
        <w:tabs>
          <w:tab w:val="num" w:pos="1440"/>
        </w:tabs>
        <w:ind w:left="1440" w:hanging="360"/>
      </w:pPr>
      <w:rPr>
        <w:rFonts w:ascii="Symbol" w:hAnsi="Symbol" w:hint="default"/>
      </w:rPr>
    </w:lvl>
    <w:lvl w:ilvl="2" w:tplc="9D8C74FE" w:tentative="1">
      <w:start w:val="1"/>
      <w:numFmt w:val="bullet"/>
      <w:lvlText w:val=""/>
      <w:lvlJc w:val="left"/>
      <w:pPr>
        <w:tabs>
          <w:tab w:val="num" w:pos="2160"/>
        </w:tabs>
        <w:ind w:left="2160" w:hanging="360"/>
      </w:pPr>
      <w:rPr>
        <w:rFonts w:ascii="Symbol" w:hAnsi="Symbol" w:hint="default"/>
      </w:rPr>
    </w:lvl>
    <w:lvl w:ilvl="3" w:tplc="AEDE2018" w:tentative="1">
      <w:start w:val="1"/>
      <w:numFmt w:val="bullet"/>
      <w:lvlText w:val=""/>
      <w:lvlJc w:val="left"/>
      <w:pPr>
        <w:tabs>
          <w:tab w:val="num" w:pos="2880"/>
        </w:tabs>
        <w:ind w:left="2880" w:hanging="360"/>
      </w:pPr>
      <w:rPr>
        <w:rFonts w:ascii="Symbol" w:hAnsi="Symbol" w:hint="default"/>
      </w:rPr>
    </w:lvl>
    <w:lvl w:ilvl="4" w:tplc="B6542D48" w:tentative="1">
      <w:start w:val="1"/>
      <w:numFmt w:val="bullet"/>
      <w:lvlText w:val=""/>
      <w:lvlJc w:val="left"/>
      <w:pPr>
        <w:tabs>
          <w:tab w:val="num" w:pos="3600"/>
        </w:tabs>
        <w:ind w:left="3600" w:hanging="360"/>
      </w:pPr>
      <w:rPr>
        <w:rFonts w:ascii="Symbol" w:hAnsi="Symbol" w:hint="default"/>
      </w:rPr>
    </w:lvl>
    <w:lvl w:ilvl="5" w:tplc="7C02FB3A" w:tentative="1">
      <w:start w:val="1"/>
      <w:numFmt w:val="bullet"/>
      <w:lvlText w:val=""/>
      <w:lvlJc w:val="left"/>
      <w:pPr>
        <w:tabs>
          <w:tab w:val="num" w:pos="4320"/>
        </w:tabs>
        <w:ind w:left="4320" w:hanging="360"/>
      </w:pPr>
      <w:rPr>
        <w:rFonts w:ascii="Symbol" w:hAnsi="Symbol" w:hint="default"/>
      </w:rPr>
    </w:lvl>
    <w:lvl w:ilvl="6" w:tplc="686C6CD2" w:tentative="1">
      <w:start w:val="1"/>
      <w:numFmt w:val="bullet"/>
      <w:lvlText w:val=""/>
      <w:lvlJc w:val="left"/>
      <w:pPr>
        <w:tabs>
          <w:tab w:val="num" w:pos="5040"/>
        </w:tabs>
        <w:ind w:left="5040" w:hanging="360"/>
      </w:pPr>
      <w:rPr>
        <w:rFonts w:ascii="Symbol" w:hAnsi="Symbol" w:hint="default"/>
      </w:rPr>
    </w:lvl>
    <w:lvl w:ilvl="7" w:tplc="264EF3E2" w:tentative="1">
      <w:start w:val="1"/>
      <w:numFmt w:val="bullet"/>
      <w:lvlText w:val=""/>
      <w:lvlJc w:val="left"/>
      <w:pPr>
        <w:tabs>
          <w:tab w:val="num" w:pos="5760"/>
        </w:tabs>
        <w:ind w:left="5760" w:hanging="360"/>
      </w:pPr>
      <w:rPr>
        <w:rFonts w:ascii="Symbol" w:hAnsi="Symbol" w:hint="default"/>
      </w:rPr>
    </w:lvl>
    <w:lvl w:ilvl="8" w:tplc="B39C15E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861655C"/>
    <w:multiLevelType w:val="hybridMultilevel"/>
    <w:tmpl w:val="7A8A83AA"/>
    <w:lvl w:ilvl="0" w:tplc="A16EAAA2">
      <w:start w:val="1"/>
      <w:numFmt w:val="bullet"/>
      <w:lvlText w:val=""/>
      <w:lvlJc w:val="left"/>
      <w:pPr>
        <w:tabs>
          <w:tab w:val="num" w:pos="720"/>
        </w:tabs>
        <w:ind w:left="720" w:hanging="360"/>
      </w:pPr>
      <w:rPr>
        <w:rFonts w:ascii="Symbol" w:hAnsi="Symbol" w:hint="default"/>
      </w:rPr>
    </w:lvl>
    <w:lvl w:ilvl="1" w:tplc="81A4006A" w:tentative="1">
      <w:start w:val="1"/>
      <w:numFmt w:val="bullet"/>
      <w:lvlText w:val=""/>
      <w:lvlJc w:val="left"/>
      <w:pPr>
        <w:tabs>
          <w:tab w:val="num" w:pos="1440"/>
        </w:tabs>
        <w:ind w:left="1440" w:hanging="360"/>
      </w:pPr>
      <w:rPr>
        <w:rFonts w:ascii="Symbol" w:hAnsi="Symbol" w:hint="default"/>
      </w:rPr>
    </w:lvl>
    <w:lvl w:ilvl="2" w:tplc="52026C9E" w:tentative="1">
      <w:start w:val="1"/>
      <w:numFmt w:val="bullet"/>
      <w:lvlText w:val=""/>
      <w:lvlJc w:val="left"/>
      <w:pPr>
        <w:tabs>
          <w:tab w:val="num" w:pos="2160"/>
        </w:tabs>
        <w:ind w:left="2160" w:hanging="360"/>
      </w:pPr>
      <w:rPr>
        <w:rFonts w:ascii="Symbol" w:hAnsi="Symbol" w:hint="default"/>
      </w:rPr>
    </w:lvl>
    <w:lvl w:ilvl="3" w:tplc="6CFEA6E0" w:tentative="1">
      <w:start w:val="1"/>
      <w:numFmt w:val="bullet"/>
      <w:lvlText w:val=""/>
      <w:lvlJc w:val="left"/>
      <w:pPr>
        <w:tabs>
          <w:tab w:val="num" w:pos="2880"/>
        </w:tabs>
        <w:ind w:left="2880" w:hanging="360"/>
      </w:pPr>
      <w:rPr>
        <w:rFonts w:ascii="Symbol" w:hAnsi="Symbol" w:hint="default"/>
      </w:rPr>
    </w:lvl>
    <w:lvl w:ilvl="4" w:tplc="806E6A32" w:tentative="1">
      <w:start w:val="1"/>
      <w:numFmt w:val="bullet"/>
      <w:lvlText w:val=""/>
      <w:lvlJc w:val="left"/>
      <w:pPr>
        <w:tabs>
          <w:tab w:val="num" w:pos="3600"/>
        </w:tabs>
        <w:ind w:left="3600" w:hanging="360"/>
      </w:pPr>
      <w:rPr>
        <w:rFonts w:ascii="Symbol" w:hAnsi="Symbol" w:hint="default"/>
      </w:rPr>
    </w:lvl>
    <w:lvl w:ilvl="5" w:tplc="81004EF6" w:tentative="1">
      <w:start w:val="1"/>
      <w:numFmt w:val="bullet"/>
      <w:lvlText w:val=""/>
      <w:lvlJc w:val="left"/>
      <w:pPr>
        <w:tabs>
          <w:tab w:val="num" w:pos="4320"/>
        </w:tabs>
        <w:ind w:left="4320" w:hanging="360"/>
      </w:pPr>
      <w:rPr>
        <w:rFonts w:ascii="Symbol" w:hAnsi="Symbol" w:hint="default"/>
      </w:rPr>
    </w:lvl>
    <w:lvl w:ilvl="6" w:tplc="9AF4F5FE" w:tentative="1">
      <w:start w:val="1"/>
      <w:numFmt w:val="bullet"/>
      <w:lvlText w:val=""/>
      <w:lvlJc w:val="left"/>
      <w:pPr>
        <w:tabs>
          <w:tab w:val="num" w:pos="5040"/>
        </w:tabs>
        <w:ind w:left="5040" w:hanging="360"/>
      </w:pPr>
      <w:rPr>
        <w:rFonts w:ascii="Symbol" w:hAnsi="Symbol" w:hint="default"/>
      </w:rPr>
    </w:lvl>
    <w:lvl w:ilvl="7" w:tplc="CFF8FBA8" w:tentative="1">
      <w:start w:val="1"/>
      <w:numFmt w:val="bullet"/>
      <w:lvlText w:val=""/>
      <w:lvlJc w:val="left"/>
      <w:pPr>
        <w:tabs>
          <w:tab w:val="num" w:pos="5760"/>
        </w:tabs>
        <w:ind w:left="5760" w:hanging="360"/>
      </w:pPr>
      <w:rPr>
        <w:rFonts w:ascii="Symbol" w:hAnsi="Symbol" w:hint="default"/>
      </w:rPr>
    </w:lvl>
    <w:lvl w:ilvl="8" w:tplc="1566503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CA2F93"/>
    <w:multiLevelType w:val="hybridMultilevel"/>
    <w:tmpl w:val="A8ECF124"/>
    <w:lvl w:ilvl="0" w:tplc="9AB6CF88">
      <w:start w:val="1"/>
      <w:numFmt w:val="bullet"/>
      <w:lvlText w:val=""/>
      <w:lvlJc w:val="left"/>
      <w:pPr>
        <w:tabs>
          <w:tab w:val="num" w:pos="720"/>
        </w:tabs>
        <w:ind w:left="720" w:hanging="360"/>
      </w:pPr>
      <w:rPr>
        <w:rFonts w:ascii="Symbol" w:hAnsi="Symbol" w:hint="default"/>
      </w:rPr>
    </w:lvl>
    <w:lvl w:ilvl="1" w:tplc="0A64E216" w:tentative="1">
      <w:start w:val="1"/>
      <w:numFmt w:val="bullet"/>
      <w:lvlText w:val=""/>
      <w:lvlJc w:val="left"/>
      <w:pPr>
        <w:tabs>
          <w:tab w:val="num" w:pos="1440"/>
        </w:tabs>
        <w:ind w:left="1440" w:hanging="360"/>
      </w:pPr>
      <w:rPr>
        <w:rFonts w:ascii="Symbol" w:hAnsi="Symbol" w:hint="default"/>
      </w:rPr>
    </w:lvl>
    <w:lvl w:ilvl="2" w:tplc="0CA0C8F2" w:tentative="1">
      <w:start w:val="1"/>
      <w:numFmt w:val="bullet"/>
      <w:lvlText w:val=""/>
      <w:lvlJc w:val="left"/>
      <w:pPr>
        <w:tabs>
          <w:tab w:val="num" w:pos="2160"/>
        </w:tabs>
        <w:ind w:left="2160" w:hanging="360"/>
      </w:pPr>
      <w:rPr>
        <w:rFonts w:ascii="Symbol" w:hAnsi="Symbol" w:hint="default"/>
      </w:rPr>
    </w:lvl>
    <w:lvl w:ilvl="3" w:tplc="8C4A8BAE" w:tentative="1">
      <w:start w:val="1"/>
      <w:numFmt w:val="bullet"/>
      <w:lvlText w:val=""/>
      <w:lvlJc w:val="left"/>
      <w:pPr>
        <w:tabs>
          <w:tab w:val="num" w:pos="2880"/>
        </w:tabs>
        <w:ind w:left="2880" w:hanging="360"/>
      </w:pPr>
      <w:rPr>
        <w:rFonts w:ascii="Symbol" w:hAnsi="Symbol" w:hint="default"/>
      </w:rPr>
    </w:lvl>
    <w:lvl w:ilvl="4" w:tplc="05F0494A" w:tentative="1">
      <w:start w:val="1"/>
      <w:numFmt w:val="bullet"/>
      <w:lvlText w:val=""/>
      <w:lvlJc w:val="left"/>
      <w:pPr>
        <w:tabs>
          <w:tab w:val="num" w:pos="3600"/>
        </w:tabs>
        <w:ind w:left="3600" w:hanging="360"/>
      </w:pPr>
      <w:rPr>
        <w:rFonts w:ascii="Symbol" w:hAnsi="Symbol" w:hint="default"/>
      </w:rPr>
    </w:lvl>
    <w:lvl w:ilvl="5" w:tplc="2A2C627A" w:tentative="1">
      <w:start w:val="1"/>
      <w:numFmt w:val="bullet"/>
      <w:lvlText w:val=""/>
      <w:lvlJc w:val="left"/>
      <w:pPr>
        <w:tabs>
          <w:tab w:val="num" w:pos="4320"/>
        </w:tabs>
        <w:ind w:left="4320" w:hanging="360"/>
      </w:pPr>
      <w:rPr>
        <w:rFonts w:ascii="Symbol" w:hAnsi="Symbol" w:hint="default"/>
      </w:rPr>
    </w:lvl>
    <w:lvl w:ilvl="6" w:tplc="3A1CBE0A" w:tentative="1">
      <w:start w:val="1"/>
      <w:numFmt w:val="bullet"/>
      <w:lvlText w:val=""/>
      <w:lvlJc w:val="left"/>
      <w:pPr>
        <w:tabs>
          <w:tab w:val="num" w:pos="5040"/>
        </w:tabs>
        <w:ind w:left="5040" w:hanging="360"/>
      </w:pPr>
      <w:rPr>
        <w:rFonts w:ascii="Symbol" w:hAnsi="Symbol" w:hint="default"/>
      </w:rPr>
    </w:lvl>
    <w:lvl w:ilvl="7" w:tplc="0FDCCC22" w:tentative="1">
      <w:start w:val="1"/>
      <w:numFmt w:val="bullet"/>
      <w:lvlText w:val=""/>
      <w:lvlJc w:val="left"/>
      <w:pPr>
        <w:tabs>
          <w:tab w:val="num" w:pos="5760"/>
        </w:tabs>
        <w:ind w:left="5760" w:hanging="360"/>
      </w:pPr>
      <w:rPr>
        <w:rFonts w:ascii="Symbol" w:hAnsi="Symbol" w:hint="default"/>
      </w:rPr>
    </w:lvl>
    <w:lvl w:ilvl="8" w:tplc="D3F8597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C1E21C0"/>
    <w:multiLevelType w:val="hybridMultilevel"/>
    <w:tmpl w:val="09E27B34"/>
    <w:lvl w:ilvl="0" w:tplc="D6564802">
      <w:start w:val="1"/>
      <w:numFmt w:val="bullet"/>
      <w:lvlText w:val="•"/>
      <w:lvlJc w:val="left"/>
      <w:pPr>
        <w:tabs>
          <w:tab w:val="num" w:pos="720"/>
        </w:tabs>
        <w:ind w:left="720" w:hanging="360"/>
      </w:pPr>
      <w:rPr>
        <w:rFonts w:ascii="Arial" w:hAnsi="Arial" w:hint="default"/>
      </w:rPr>
    </w:lvl>
    <w:lvl w:ilvl="1" w:tplc="E5C44964" w:tentative="1">
      <w:start w:val="1"/>
      <w:numFmt w:val="bullet"/>
      <w:lvlText w:val="•"/>
      <w:lvlJc w:val="left"/>
      <w:pPr>
        <w:tabs>
          <w:tab w:val="num" w:pos="1440"/>
        </w:tabs>
        <w:ind w:left="1440" w:hanging="360"/>
      </w:pPr>
      <w:rPr>
        <w:rFonts w:ascii="Arial" w:hAnsi="Arial" w:hint="default"/>
      </w:rPr>
    </w:lvl>
    <w:lvl w:ilvl="2" w:tplc="17BCC4CE" w:tentative="1">
      <w:start w:val="1"/>
      <w:numFmt w:val="bullet"/>
      <w:lvlText w:val="•"/>
      <w:lvlJc w:val="left"/>
      <w:pPr>
        <w:tabs>
          <w:tab w:val="num" w:pos="2160"/>
        </w:tabs>
        <w:ind w:left="2160" w:hanging="360"/>
      </w:pPr>
      <w:rPr>
        <w:rFonts w:ascii="Arial" w:hAnsi="Arial" w:hint="default"/>
      </w:rPr>
    </w:lvl>
    <w:lvl w:ilvl="3" w:tplc="9D788E84" w:tentative="1">
      <w:start w:val="1"/>
      <w:numFmt w:val="bullet"/>
      <w:lvlText w:val="•"/>
      <w:lvlJc w:val="left"/>
      <w:pPr>
        <w:tabs>
          <w:tab w:val="num" w:pos="2880"/>
        </w:tabs>
        <w:ind w:left="2880" w:hanging="360"/>
      </w:pPr>
      <w:rPr>
        <w:rFonts w:ascii="Arial" w:hAnsi="Arial" w:hint="default"/>
      </w:rPr>
    </w:lvl>
    <w:lvl w:ilvl="4" w:tplc="F0B62E9C" w:tentative="1">
      <w:start w:val="1"/>
      <w:numFmt w:val="bullet"/>
      <w:lvlText w:val="•"/>
      <w:lvlJc w:val="left"/>
      <w:pPr>
        <w:tabs>
          <w:tab w:val="num" w:pos="3600"/>
        </w:tabs>
        <w:ind w:left="3600" w:hanging="360"/>
      </w:pPr>
      <w:rPr>
        <w:rFonts w:ascii="Arial" w:hAnsi="Arial" w:hint="default"/>
      </w:rPr>
    </w:lvl>
    <w:lvl w:ilvl="5" w:tplc="8FE85634" w:tentative="1">
      <w:start w:val="1"/>
      <w:numFmt w:val="bullet"/>
      <w:lvlText w:val="•"/>
      <w:lvlJc w:val="left"/>
      <w:pPr>
        <w:tabs>
          <w:tab w:val="num" w:pos="4320"/>
        </w:tabs>
        <w:ind w:left="4320" w:hanging="360"/>
      </w:pPr>
      <w:rPr>
        <w:rFonts w:ascii="Arial" w:hAnsi="Arial" w:hint="default"/>
      </w:rPr>
    </w:lvl>
    <w:lvl w:ilvl="6" w:tplc="7A9AF974" w:tentative="1">
      <w:start w:val="1"/>
      <w:numFmt w:val="bullet"/>
      <w:lvlText w:val="•"/>
      <w:lvlJc w:val="left"/>
      <w:pPr>
        <w:tabs>
          <w:tab w:val="num" w:pos="5040"/>
        </w:tabs>
        <w:ind w:left="5040" w:hanging="360"/>
      </w:pPr>
      <w:rPr>
        <w:rFonts w:ascii="Arial" w:hAnsi="Arial" w:hint="default"/>
      </w:rPr>
    </w:lvl>
    <w:lvl w:ilvl="7" w:tplc="A05420B6" w:tentative="1">
      <w:start w:val="1"/>
      <w:numFmt w:val="bullet"/>
      <w:lvlText w:val="•"/>
      <w:lvlJc w:val="left"/>
      <w:pPr>
        <w:tabs>
          <w:tab w:val="num" w:pos="5760"/>
        </w:tabs>
        <w:ind w:left="5760" w:hanging="360"/>
      </w:pPr>
      <w:rPr>
        <w:rFonts w:ascii="Arial" w:hAnsi="Arial" w:hint="default"/>
      </w:rPr>
    </w:lvl>
    <w:lvl w:ilvl="8" w:tplc="4C5A7C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2F65E6"/>
    <w:multiLevelType w:val="hybridMultilevel"/>
    <w:tmpl w:val="C9B01F90"/>
    <w:lvl w:ilvl="0" w:tplc="218E95A0">
      <w:start w:val="1"/>
      <w:numFmt w:val="bullet"/>
      <w:lvlText w:val=""/>
      <w:lvlJc w:val="left"/>
      <w:pPr>
        <w:tabs>
          <w:tab w:val="num" w:pos="720"/>
        </w:tabs>
        <w:ind w:left="720" w:hanging="360"/>
      </w:pPr>
      <w:rPr>
        <w:rFonts w:ascii="Symbol" w:hAnsi="Symbol" w:hint="default"/>
      </w:rPr>
    </w:lvl>
    <w:lvl w:ilvl="1" w:tplc="B2561F20" w:tentative="1">
      <w:start w:val="1"/>
      <w:numFmt w:val="bullet"/>
      <w:lvlText w:val=""/>
      <w:lvlJc w:val="left"/>
      <w:pPr>
        <w:tabs>
          <w:tab w:val="num" w:pos="1440"/>
        </w:tabs>
        <w:ind w:left="1440" w:hanging="360"/>
      </w:pPr>
      <w:rPr>
        <w:rFonts w:ascii="Symbol" w:hAnsi="Symbol" w:hint="default"/>
      </w:rPr>
    </w:lvl>
    <w:lvl w:ilvl="2" w:tplc="95603150" w:tentative="1">
      <w:start w:val="1"/>
      <w:numFmt w:val="bullet"/>
      <w:lvlText w:val=""/>
      <w:lvlJc w:val="left"/>
      <w:pPr>
        <w:tabs>
          <w:tab w:val="num" w:pos="2160"/>
        </w:tabs>
        <w:ind w:left="2160" w:hanging="360"/>
      </w:pPr>
      <w:rPr>
        <w:rFonts w:ascii="Symbol" w:hAnsi="Symbol" w:hint="default"/>
      </w:rPr>
    </w:lvl>
    <w:lvl w:ilvl="3" w:tplc="41A604D2" w:tentative="1">
      <w:start w:val="1"/>
      <w:numFmt w:val="bullet"/>
      <w:lvlText w:val=""/>
      <w:lvlJc w:val="left"/>
      <w:pPr>
        <w:tabs>
          <w:tab w:val="num" w:pos="2880"/>
        </w:tabs>
        <w:ind w:left="2880" w:hanging="360"/>
      </w:pPr>
      <w:rPr>
        <w:rFonts w:ascii="Symbol" w:hAnsi="Symbol" w:hint="default"/>
      </w:rPr>
    </w:lvl>
    <w:lvl w:ilvl="4" w:tplc="5176AE8A" w:tentative="1">
      <w:start w:val="1"/>
      <w:numFmt w:val="bullet"/>
      <w:lvlText w:val=""/>
      <w:lvlJc w:val="left"/>
      <w:pPr>
        <w:tabs>
          <w:tab w:val="num" w:pos="3600"/>
        </w:tabs>
        <w:ind w:left="3600" w:hanging="360"/>
      </w:pPr>
      <w:rPr>
        <w:rFonts w:ascii="Symbol" w:hAnsi="Symbol" w:hint="default"/>
      </w:rPr>
    </w:lvl>
    <w:lvl w:ilvl="5" w:tplc="7CB4952C" w:tentative="1">
      <w:start w:val="1"/>
      <w:numFmt w:val="bullet"/>
      <w:lvlText w:val=""/>
      <w:lvlJc w:val="left"/>
      <w:pPr>
        <w:tabs>
          <w:tab w:val="num" w:pos="4320"/>
        </w:tabs>
        <w:ind w:left="4320" w:hanging="360"/>
      </w:pPr>
      <w:rPr>
        <w:rFonts w:ascii="Symbol" w:hAnsi="Symbol" w:hint="default"/>
      </w:rPr>
    </w:lvl>
    <w:lvl w:ilvl="6" w:tplc="5A861938" w:tentative="1">
      <w:start w:val="1"/>
      <w:numFmt w:val="bullet"/>
      <w:lvlText w:val=""/>
      <w:lvlJc w:val="left"/>
      <w:pPr>
        <w:tabs>
          <w:tab w:val="num" w:pos="5040"/>
        </w:tabs>
        <w:ind w:left="5040" w:hanging="360"/>
      </w:pPr>
      <w:rPr>
        <w:rFonts w:ascii="Symbol" w:hAnsi="Symbol" w:hint="default"/>
      </w:rPr>
    </w:lvl>
    <w:lvl w:ilvl="7" w:tplc="02B8BBD4" w:tentative="1">
      <w:start w:val="1"/>
      <w:numFmt w:val="bullet"/>
      <w:lvlText w:val=""/>
      <w:lvlJc w:val="left"/>
      <w:pPr>
        <w:tabs>
          <w:tab w:val="num" w:pos="5760"/>
        </w:tabs>
        <w:ind w:left="5760" w:hanging="360"/>
      </w:pPr>
      <w:rPr>
        <w:rFonts w:ascii="Symbol" w:hAnsi="Symbol" w:hint="default"/>
      </w:rPr>
    </w:lvl>
    <w:lvl w:ilvl="8" w:tplc="6C7674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03726B"/>
    <w:multiLevelType w:val="hybridMultilevel"/>
    <w:tmpl w:val="F7A29AD6"/>
    <w:lvl w:ilvl="0" w:tplc="1108A1C6">
      <w:start w:val="1"/>
      <w:numFmt w:val="bullet"/>
      <w:lvlText w:val=""/>
      <w:lvlJc w:val="left"/>
      <w:pPr>
        <w:tabs>
          <w:tab w:val="num" w:pos="720"/>
        </w:tabs>
        <w:ind w:left="720" w:hanging="360"/>
      </w:pPr>
      <w:rPr>
        <w:rFonts w:ascii="Symbol" w:hAnsi="Symbol" w:hint="default"/>
      </w:rPr>
    </w:lvl>
    <w:lvl w:ilvl="1" w:tplc="CF6870E0" w:tentative="1">
      <w:start w:val="1"/>
      <w:numFmt w:val="bullet"/>
      <w:lvlText w:val=""/>
      <w:lvlJc w:val="left"/>
      <w:pPr>
        <w:tabs>
          <w:tab w:val="num" w:pos="1440"/>
        </w:tabs>
        <w:ind w:left="1440" w:hanging="360"/>
      </w:pPr>
      <w:rPr>
        <w:rFonts w:ascii="Symbol" w:hAnsi="Symbol" w:hint="default"/>
      </w:rPr>
    </w:lvl>
    <w:lvl w:ilvl="2" w:tplc="95B0FA1C">
      <w:start w:val="1"/>
      <w:numFmt w:val="bullet"/>
      <w:lvlText w:val=""/>
      <w:lvlJc w:val="left"/>
      <w:pPr>
        <w:tabs>
          <w:tab w:val="num" w:pos="2160"/>
        </w:tabs>
        <w:ind w:left="2160" w:hanging="360"/>
      </w:pPr>
      <w:rPr>
        <w:rFonts w:ascii="Symbol" w:hAnsi="Symbol" w:hint="default"/>
        <w:lang w:val="en-US"/>
      </w:rPr>
    </w:lvl>
    <w:lvl w:ilvl="3" w:tplc="185AA8EC" w:tentative="1">
      <w:start w:val="1"/>
      <w:numFmt w:val="bullet"/>
      <w:lvlText w:val=""/>
      <w:lvlJc w:val="left"/>
      <w:pPr>
        <w:tabs>
          <w:tab w:val="num" w:pos="2880"/>
        </w:tabs>
        <w:ind w:left="2880" w:hanging="360"/>
      </w:pPr>
      <w:rPr>
        <w:rFonts w:ascii="Symbol" w:hAnsi="Symbol" w:hint="default"/>
      </w:rPr>
    </w:lvl>
    <w:lvl w:ilvl="4" w:tplc="FE907264" w:tentative="1">
      <w:start w:val="1"/>
      <w:numFmt w:val="bullet"/>
      <w:lvlText w:val=""/>
      <w:lvlJc w:val="left"/>
      <w:pPr>
        <w:tabs>
          <w:tab w:val="num" w:pos="3600"/>
        </w:tabs>
        <w:ind w:left="3600" w:hanging="360"/>
      </w:pPr>
      <w:rPr>
        <w:rFonts w:ascii="Symbol" w:hAnsi="Symbol" w:hint="default"/>
      </w:rPr>
    </w:lvl>
    <w:lvl w:ilvl="5" w:tplc="CCD48F56" w:tentative="1">
      <w:start w:val="1"/>
      <w:numFmt w:val="bullet"/>
      <w:lvlText w:val=""/>
      <w:lvlJc w:val="left"/>
      <w:pPr>
        <w:tabs>
          <w:tab w:val="num" w:pos="4320"/>
        </w:tabs>
        <w:ind w:left="4320" w:hanging="360"/>
      </w:pPr>
      <w:rPr>
        <w:rFonts w:ascii="Symbol" w:hAnsi="Symbol" w:hint="default"/>
      </w:rPr>
    </w:lvl>
    <w:lvl w:ilvl="6" w:tplc="3BB62914" w:tentative="1">
      <w:start w:val="1"/>
      <w:numFmt w:val="bullet"/>
      <w:lvlText w:val=""/>
      <w:lvlJc w:val="left"/>
      <w:pPr>
        <w:tabs>
          <w:tab w:val="num" w:pos="5040"/>
        </w:tabs>
        <w:ind w:left="5040" w:hanging="360"/>
      </w:pPr>
      <w:rPr>
        <w:rFonts w:ascii="Symbol" w:hAnsi="Symbol" w:hint="default"/>
      </w:rPr>
    </w:lvl>
    <w:lvl w:ilvl="7" w:tplc="419EC760" w:tentative="1">
      <w:start w:val="1"/>
      <w:numFmt w:val="bullet"/>
      <w:lvlText w:val=""/>
      <w:lvlJc w:val="left"/>
      <w:pPr>
        <w:tabs>
          <w:tab w:val="num" w:pos="5760"/>
        </w:tabs>
        <w:ind w:left="5760" w:hanging="360"/>
      </w:pPr>
      <w:rPr>
        <w:rFonts w:ascii="Symbol" w:hAnsi="Symbol" w:hint="default"/>
      </w:rPr>
    </w:lvl>
    <w:lvl w:ilvl="8" w:tplc="4CEC4E5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FA823F0"/>
    <w:multiLevelType w:val="hybridMultilevel"/>
    <w:tmpl w:val="F06ACFE2"/>
    <w:lvl w:ilvl="0" w:tplc="A36AC6E8">
      <w:start w:val="1"/>
      <w:numFmt w:val="bullet"/>
      <w:lvlText w:val=""/>
      <w:lvlJc w:val="left"/>
      <w:pPr>
        <w:tabs>
          <w:tab w:val="num" w:pos="720"/>
        </w:tabs>
        <w:ind w:left="720" w:hanging="360"/>
      </w:pPr>
      <w:rPr>
        <w:rFonts w:ascii="Symbol" w:hAnsi="Symbol" w:hint="default"/>
      </w:rPr>
    </w:lvl>
    <w:lvl w:ilvl="1" w:tplc="5BF2E446">
      <w:numFmt w:val="bullet"/>
      <w:lvlText w:val="•"/>
      <w:lvlJc w:val="left"/>
      <w:pPr>
        <w:tabs>
          <w:tab w:val="num" w:pos="1440"/>
        </w:tabs>
        <w:ind w:left="1440" w:hanging="360"/>
      </w:pPr>
      <w:rPr>
        <w:rFonts w:ascii="Arial" w:hAnsi="Arial" w:hint="default"/>
      </w:rPr>
    </w:lvl>
    <w:lvl w:ilvl="2" w:tplc="184EE1EC" w:tentative="1">
      <w:start w:val="1"/>
      <w:numFmt w:val="bullet"/>
      <w:lvlText w:val=""/>
      <w:lvlJc w:val="left"/>
      <w:pPr>
        <w:tabs>
          <w:tab w:val="num" w:pos="2160"/>
        </w:tabs>
        <w:ind w:left="2160" w:hanging="360"/>
      </w:pPr>
      <w:rPr>
        <w:rFonts w:ascii="Symbol" w:hAnsi="Symbol" w:hint="default"/>
      </w:rPr>
    </w:lvl>
    <w:lvl w:ilvl="3" w:tplc="D16471C6" w:tentative="1">
      <w:start w:val="1"/>
      <w:numFmt w:val="bullet"/>
      <w:lvlText w:val=""/>
      <w:lvlJc w:val="left"/>
      <w:pPr>
        <w:tabs>
          <w:tab w:val="num" w:pos="2880"/>
        </w:tabs>
        <w:ind w:left="2880" w:hanging="360"/>
      </w:pPr>
      <w:rPr>
        <w:rFonts w:ascii="Symbol" w:hAnsi="Symbol" w:hint="default"/>
      </w:rPr>
    </w:lvl>
    <w:lvl w:ilvl="4" w:tplc="1F9AB5AC" w:tentative="1">
      <w:start w:val="1"/>
      <w:numFmt w:val="bullet"/>
      <w:lvlText w:val=""/>
      <w:lvlJc w:val="left"/>
      <w:pPr>
        <w:tabs>
          <w:tab w:val="num" w:pos="3600"/>
        </w:tabs>
        <w:ind w:left="3600" w:hanging="360"/>
      </w:pPr>
      <w:rPr>
        <w:rFonts w:ascii="Symbol" w:hAnsi="Symbol" w:hint="default"/>
      </w:rPr>
    </w:lvl>
    <w:lvl w:ilvl="5" w:tplc="FBCC805A" w:tentative="1">
      <w:start w:val="1"/>
      <w:numFmt w:val="bullet"/>
      <w:lvlText w:val=""/>
      <w:lvlJc w:val="left"/>
      <w:pPr>
        <w:tabs>
          <w:tab w:val="num" w:pos="4320"/>
        </w:tabs>
        <w:ind w:left="4320" w:hanging="360"/>
      </w:pPr>
      <w:rPr>
        <w:rFonts w:ascii="Symbol" w:hAnsi="Symbol" w:hint="default"/>
      </w:rPr>
    </w:lvl>
    <w:lvl w:ilvl="6" w:tplc="7054AB30" w:tentative="1">
      <w:start w:val="1"/>
      <w:numFmt w:val="bullet"/>
      <w:lvlText w:val=""/>
      <w:lvlJc w:val="left"/>
      <w:pPr>
        <w:tabs>
          <w:tab w:val="num" w:pos="5040"/>
        </w:tabs>
        <w:ind w:left="5040" w:hanging="360"/>
      </w:pPr>
      <w:rPr>
        <w:rFonts w:ascii="Symbol" w:hAnsi="Symbol" w:hint="default"/>
      </w:rPr>
    </w:lvl>
    <w:lvl w:ilvl="7" w:tplc="0348529A" w:tentative="1">
      <w:start w:val="1"/>
      <w:numFmt w:val="bullet"/>
      <w:lvlText w:val=""/>
      <w:lvlJc w:val="left"/>
      <w:pPr>
        <w:tabs>
          <w:tab w:val="num" w:pos="5760"/>
        </w:tabs>
        <w:ind w:left="5760" w:hanging="360"/>
      </w:pPr>
      <w:rPr>
        <w:rFonts w:ascii="Symbol" w:hAnsi="Symbol" w:hint="default"/>
      </w:rPr>
    </w:lvl>
    <w:lvl w:ilvl="8" w:tplc="656AEFB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13"/>
  </w:num>
  <w:num w:numId="4">
    <w:abstractNumId w:val="4"/>
  </w:num>
  <w:num w:numId="5">
    <w:abstractNumId w:val="11"/>
  </w:num>
  <w:num w:numId="6">
    <w:abstractNumId w:val="10"/>
  </w:num>
  <w:num w:numId="7">
    <w:abstractNumId w:val="8"/>
  </w:num>
  <w:num w:numId="8">
    <w:abstractNumId w:val="12"/>
  </w:num>
  <w:num w:numId="9">
    <w:abstractNumId w:val="2"/>
  </w:num>
  <w:num w:numId="10">
    <w:abstractNumId w:val="7"/>
  </w:num>
  <w:num w:numId="11">
    <w:abstractNumId w:val="9"/>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56"/>
    <w:rsid w:val="00016D10"/>
    <w:rsid w:val="00021374"/>
    <w:rsid w:val="00031BE7"/>
    <w:rsid w:val="0003229F"/>
    <w:rsid w:val="0003775E"/>
    <w:rsid w:val="000552DC"/>
    <w:rsid w:val="0009785C"/>
    <w:rsid w:val="000A083F"/>
    <w:rsid w:val="000A3E3D"/>
    <w:rsid w:val="000A5928"/>
    <w:rsid w:val="000B095B"/>
    <w:rsid w:val="000B2FC8"/>
    <w:rsid w:val="000C67A7"/>
    <w:rsid w:val="00101164"/>
    <w:rsid w:val="00101446"/>
    <w:rsid w:val="00111BF6"/>
    <w:rsid w:val="00134ECF"/>
    <w:rsid w:val="00143F55"/>
    <w:rsid w:val="00144B88"/>
    <w:rsid w:val="0015031F"/>
    <w:rsid w:val="00151D27"/>
    <w:rsid w:val="00156D79"/>
    <w:rsid w:val="001A2E25"/>
    <w:rsid w:val="001B1B99"/>
    <w:rsid w:val="001B338D"/>
    <w:rsid w:val="001B6256"/>
    <w:rsid w:val="001B6DD2"/>
    <w:rsid w:val="001B771B"/>
    <w:rsid w:val="001E1DD8"/>
    <w:rsid w:val="001E57FA"/>
    <w:rsid w:val="002027BC"/>
    <w:rsid w:val="002071FE"/>
    <w:rsid w:val="00247D16"/>
    <w:rsid w:val="002522D5"/>
    <w:rsid w:val="00285DC0"/>
    <w:rsid w:val="0029324D"/>
    <w:rsid w:val="002A569C"/>
    <w:rsid w:val="002B78DB"/>
    <w:rsid w:val="002F02E6"/>
    <w:rsid w:val="002F1B01"/>
    <w:rsid w:val="00303FFD"/>
    <w:rsid w:val="00305960"/>
    <w:rsid w:val="003073E0"/>
    <w:rsid w:val="00307E83"/>
    <w:rsid w:val="0031543C"/>
    <w:rsid w:val="003169C3"/>
    <w:rsid w:val="00321389"/>
    <w:rsid w:val="003213EC"/>
    <w:rsid w:val="0034591A"/>
    <w:rsid w:val="00351E44"/>
    <w:rsid w:val="0035245E"/>
    <w:rsid w:val="00382D46"/>
    <w:rsid w:val="003948AC"/>
    <w:rsid w:val="003A1DFA"/>
    <w:rsid w:val="003B0897"/>
    <w:rsid w:val="003E633F"/>
    <w:rsid w:val="003E7971"/>
    <w:rsid w:val="00407BF3"/>
    <w:rsid w:val="00424687"/>
    <w:rsid w:val="004312C8"/>
    <w:rsid w:val="00432685"/>
    <w:rsid w:val="004345E4"/>
    <w:rsid w:val="00442E82"/>
    <w:rsid w:val="00461BAE"/>
    <w:rsid w:val="00463E19"/>
    <w:rsid w:val="00465718"/>
    <w:rsid w:val="004766DF"/>
    <w:rsid w:val="00476C87"/>
    <w:rsid w:val="00477967"/>
    <w:rsid w:val="004837EE"/>
    <w:rsid w:val="004853B3"/>
    <w:rsid w:val="004948C5"/>
    <w:rsid w:val="0049583D"/>
    <w:rsid w:val="004B6208"/>
    <w:rsid w:val="004E0CA5"/>
    <w:rsid w:val="004E5FE9"/>
    <w:rsid w:val="004F1FD4"/>
    <w:rsid w:val="00500634"/>
    <w:rsid w:val="005058E7"/>
    <w:rsid w:val="00516CF9"/>
    <w:rsid w:val="00523106"/>
    <w:rsid w:val="005444C8"/>
    <w:rsid w:val="00560FCF"/>
    <w:rsid w:val="0058773C"/>
    <w:rsid w:val="005912CC"/>
    <w:rsid w:val="005A27C7"/>
    <w:rsid w:val="005A30F2"/>
    <w:rsid w:val="005B096D"/>
    <w:rsid w:val="005B0E18"/>
    <w:rsid w:val="005C1377"/>
    <w:rsid w:val="005C3A09"/>
    <w:rsid w:val="005F30EE"/>
    <w:rsid w:val="005F6A46"/>
    <w:rsid w:val="006001A0"/>
    <w:rsid w:val="00607D9A"/>
    <w:rsid w:val="00612A7B"/>
    <w:rsid w:val="0061745A"/>
    <w:rsid w:val="00620AFE"/>
    <w:rsid w:val="00624D8F"/>
    <w:rsid w:val="00630E58"/>
    <w:rsid w:val="00636698"/>
    <w:rsid w:val="006377EF"/>
    <w:rsid w:val="00640A45"/>
    <w:rsid w:val="00641A06"/>
    <w:rsid w:val="00645D15"/>
    <w:rsid w:val="006524D0"/>
    <w:rsid w:val="006553ED"/>
    <w:rsid w:val="00663A8B"/>
    <w:rsid w:val="00671050"/>
    <w:rsid w:val="006832F7"/>
    <w:rsid w:val="00684052"/>
    <w:rsid w:val="006853EA"/>
    <w:rsid w:val="006A3530"/>
    <w:rsid w:val="006B0705"/>
    <w:rsid w:val="006C52B2"/>
    <w:rsid w:val="006C6D09"/>
    <w:rsid w:val="006C7E84"/>
    <w:rsid w:val="006D24DE"/>
    <w:rsid w:val="006E7241"/>
    <w:rsid w:val="00707487"/>
    <w:rsid w:val="0071012B"/>
    <w:rsid w:val="00721F88"/>
    <w:rsid w:val="00722CF1"/>
    <w:rsid w:val="00724535"/>
    <w:rsid w:val="00724C96"/>
    <w:rsid w:val="00735365"/>
    <w:rsid w:val="007370A9"/>
    <w:rsid w:val="0074622A"/>
    <w:rsid w:val="00750E85"/>
    <w:rsid w:val="0077605C"/>
    <w:rsid w:val="007A7001"/>
    <w:rsid w:val="007B4B88"/>
    <w:rsid w:val="007C0735"/>
    <w:rsid w:val="007C119C"/>
    <w:rsid w:val="007C64AE"/>
    <w:rsid w:val="007E269A"/>
    <w:rsid w:val="007F0132"/>
    <w:rsid w:val="007F2333"/>
    <w:rsid w:val="007F28D0"/>
    <w:rsid w:val="00801EBA"/>
    <w:rsid w:val="00805D38"/>
    <w:rsid w:val="00810444"/>
    <w:rsid w:val="0082227F"/>
    <w:rsid w:val="00825EFD"/>
    <w:rsid w:val="00835A14"/>
    <w:rsid w:val="00855F42"/>
    <w:rsid w:val="00857174"/>
    <w:rsid w:val="00871D3C"/>
    <w:rsid w:val="00883B6A"/>
    <w:rsid w:val="0088775C"/>
    <w:rsid w:val="00893D90"/>
    <w:rsid w:val="008A26A7"/>
    <w:rsid w:val="008C6BDB"/>
    <w:rsid w:val="008D2699"/>
    <w:rsid w:val="008D7417"/>
    <w:rsid w:val="008D746A"/>
    <w:rsid w:val="008F3CB2"/>
    <w:rsid w:val="008F546A"/>
    <w:rsid w:val="00913125"/>
    <w:rsid w:val="00921135"/>
    <w:rsid w:val="00923613"/>
    <w:rsid w:val="00933842"/>
    <w:rsid w:val="009344D8"/>
    <w:rsid w:val="009451A5"/>
    <w:rsid w:val="00954615"/>
    <w:rsid w:val="00965168"/>
    <w:rsid w:val="00970E8F"/>
    <w:rsid w:val="00976BCD"/>
    <w:rsid w:val="00990D5B"/>
    <w:rsid w:val="00992AA7"/>
    <w:rsid w:val="00992B9D"/>
    <w:rsid w:val="00993D75"/>
    <w:rsid w:val="009B0302"/>
    <w:rsid w:val="009B5ACB"/>
    <w:rsid w:val="009C5888"/>
    <w:rsid w:val="009E27FF"/>
    <w:rsid w:val="009F25A4"/>
    <w:rsid w:val="009F4F82"/>
    <w:rsid w:val="00A00481"/>
    <w:rsid w:val="00A02EAD"/>
    <w:rsid w:val="00A1311B"/>
    <w:rsid w:val="00A2045E"/>
    <w:rsid w:val="00A231A7"/>
    <w:rsid w:val="00A262A0"/>
    <w:rsid w:val="00A31FA3"/>
    <w:rsid w:val="00A31FFF"/>
    <w:rsid w:val="00A35D21"/>
    <w:rsid w:val="00A47C1B"/>
    <w:rsid w:val="00A52148"/>
    <w:rsid w:val="00A52463"/>
    <w:rsid w:val="00A52979"/>
    <w:rsid w:val="00A554DE"/>
    <w:rsid w:val="00A57376"/>
    <w:rsid w:val="00A719B8"/>
    <w:rsid w:val="00A77E43"/>
    <w:rsid w:val="00A802CA"/>
    <w:rsid w:val="00A8639D"/>
    <w:rsid w:val="00AA7C7F"/>
    <w:rsid w:val="00AB0C07"/>
    <w:rsid w:val="00AD255D"/>
    <w:rsid w:val="00AD4DB0"/>
    <w:rsid w:val="00AE4676"/>
    <w:rsid w:val="00AF3F2C"/>
    <w:rsid w:val="00B00CE9"/>
    <w:rsid w:val="00B265A1"/>
    <w:rsid w:val="00B27023"/>
    <w:rsid w:val="00B346FC"/>
    <w:rsid w:val="00B3588F"/>
    <w:rsid w:val="00B4049C"/>
    <w:rsid w:val="00B474ED"/>
    <w:rsid w:val="00B55644"/>
    <w:rsid w:val="00B72A00"/>
    <w:rsid w:val="00B96F15"/>
    <w:rsid w:val="00BC0CB5"/>
    <w:rsid w:val="00BC5570"/>
    <w:rsid w:val="00BD030B"/>
    <w:rsid w:val="00BD51E3"/>
    <w:rsid w:val="00BD7120"/>
    <w:rsid w:val="00BF6E51"/>
    <w:rsid w:val="00C15737"/>
    <w:rsid w:val="00C15DB0"/>
    <w:rsid w:val="00C1678D"/>
    <w:rsid w:val="00C27F98"/>
    <w:rsid w:val="00C3013F"/>
    <w:rsid w:val="00C354CE"/>
    <w:rsid w:val="00C41BAE"/>
    <w:rsid w:val="00C421E6"/>
    <w:rsid w:val="00C55EFC"/>
    <w:rsid w:val="00C569CC"/>
    <w:rsid w:val="00C61917"/>
    <w:rsid w:val="00C804AA"/>
    <w:rsid w:val="00C847FE"/>
    <w:rsid w:val="00C849BA"/>
    <w:rsid w:val="00C93768"/>
    <w:rsid w:val="00CA3175"/>
    <w:rsid w:val="00CB324C"/>
    <w:rsid w:val="00CB45E7"/>
    <w:rsid w:val="00CC11AD"/>
    <w:rsid w:val="00CC62F3"/>
    <w:rsid w:val="00CC7CDB"/>
    <w:rsid w:val="00CD4129"/>
    <w:rsid w:val="00CD4463"/>
    <w:rsid w:val="00CE3F52"/>
    <w:rsid w:val="00CE675C"/>
    <w:rsid w:val="00CF6147"/>
    <w:rsid w:val="00D006CC"/>
    <w:rsid w:val="00D33077"/>
    <w:rsid w:val="00D40720"/>
    <w:rsid w:val="00D4634C"/>
    <w:rsid w:val="00D52064"/>
    <w:rsid w:val="00D65AA3"/>
    <w:rsid w:val="00D86284"/>
    <w:rsid w:val="00DB3FE3"/>
    <w:rsid w:val="00DD3E39"/>
    <w:rsid w:val="00DD578B"/>
    <w:rsid w:val="00DE77FF"/>
    <w:rsid w:val="00DF3120"/>
    <w:rsid w:val="00E32180"/>
    <w:rsid w:val="00E518B2"/>
    <w:rsid w:val="00E6718C"/>
    <w:rsid w:val="00E84AFE"/>
    <w:rsid w:val="00E85B74"/>
    <w:rsid w:val="00E94AE9"/>
    <w:rsid w:val="00EA09B5"/>
    <w:rsid w:val="00EA65E4"/>
    <w:rsid w:val="00EB06FA"/>
    <w:rsid w:val="00EE4547"/>
    <w:rsid w:val="00EE4DE5"/>
    <w:rsid w:val="00F16AC5"/>
    <w:rsid w:val="00FA323E"/>
    <w:rsid w:val="00FB119E"/>
    <w:rsid w:val="00FC3BE0"/>
    <w:rsid w:val="00FF0227"/>
    <w:rsid w:val="00FF0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89C6"/>
  <w15:chartTrackingRefBased/>
  <w15:docId w15:val="{9F6C3742-0CD0-45A2-ADDF-55D47B9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09"/>
  </w:style>
  <w:style w:type="paragraph" w:styleId="Ttulo1">
    <w:name w:val="heading 1"/>
    <w:basedOn w:val="Normal"/>
    <w:next w:val="Normal"/>
    <w:link w:val="Ttulo1Car"/>
    <w:uiPriority w:val="9"/>
    <w:qFormat/>
    <w:rsid w:val="001B6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B6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B62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1B62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62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62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62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62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62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25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625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B625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1B625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625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62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62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62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6256"/>
    <w:rPr>
      <w:rFonts w:eastAsiaTheme="majorEastAsia" w:cstheme="majorBidi"/>
      <w:color w:val="272727" w:themeColor="text1" w:themeTint="D8"/>
    </w:rPr>
  </w:style>
  <w:style w:type="paragraph" w:styleId="Puesto">
    <w:name w:val="Title"/>
    <w:basedOn w:val="Normal"/>
    <w:next w:val="Normal"/>
    <w:link w:val="PuestoCar"/>
    <w:uiPriority w:val="10"/>
    <w:qFormat/>
    <w:rsid w:val="001B6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B62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62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62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6256"/>
    <w:pPr>
      <w:spacing w:before="160"/>
      <w:jc w:val="center"/>
    </w:pPr>
    <w:rPr>
      <w:i/>
      <w:iCs/>
      <w:color w:val="404040" w:themeColor="text1" w:themeTint="BF"/>
    </w:rPr>
  </w:style>
  <w:style w:type="character" w:customStyle="1" w:styleId="CitaCar">
    <w:name w:val="Cita Car"/>
    <w:basedOn w:val="Fuentedeprrafopredeter"/>
    <w:link w:val="Cita"/>
    <w:uiPriority w:val="29"/>
    <w:rsid w:val="001B6256"/>
    <w:rPr>
      <w:i/>
      <w:iCs/>
      <w:color w:val="404040" w:themeColor="text1" w:themeTint="BF"/>
    </w:rPr>
  </w:style>
  <w:style w:type="paragraph" w:styleId="Prrafodelista">
    <w:name w:val="List Paragraph"/>
    <w:basedOn w:val="Normal"/>
    <w:uiPriority w:val="34"/>
    <w:qFormat/>
    <w:rsid w:val="001B6256"/>
    <w:pPr>
      <w:ind w:left="720"/>
      <w:contextualSpacing/>
    </w:pPr>
  </w:style>
  <w:style w:type="character" w:styleId="nfasisintenso">
    <w:name w:val="Intense Emphasis"/>
    <w:basedOn w:val="Fuentedeprrafopredeter"/>
    <w:uiPriority w:val="21"/>
    <w:qFormat/>
    <w:rsid w:val="001B6256"/>
    <w:rPr>
      <w:i/>
      <w:iCs/>
      <w:color w:val="2F5496" w:themeColor="accent1" w:themeShade="BF"/>
    </w:rPr>
  </w:style>
  <w:style w:type="paragraph" w:styleId="Citadestacada">
    <w:name w:val="Intense Quote"/>
    <w:basedOn w:val="Normal"/>
    <w:next w:val="Normal"/>
    <w:link w:val="CitadestacadaCar"/>
    <w:uiPriority w:val="30"/>
    <w:qFormat/>
    <w:rsid w:val="001B6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6256"/>
    <w:rPr>
      <w:i/>
      <w:iCs/>
      <w:color w:val="2F5496" w:themeColor="accent1" w:themeShade="BF"/>
    </w:rPr>
  </w:style>
  <w:style w:type="character" w:styleId="Referenciaintensa">
    <w:name w:val="Intense Reference"/>
    <w:basedOn w:val="Fuentedeprrafopredeter"/>
    <w:uiPriority w:val="32"/>
    <w:qFormat/>
    <w:rsid w:val="001B6256"/>
    <w:rPr>
      <w:b/>
      <w:bCs/>
      <w:smallCaps/>
      <w:color w:val="2F5496" w:themeColor="accent1" w:themeShade="BF"/>
      <w:spacing w:val="5"/>
    </w:rPr>
  </w:style>
  <w:style w:type="paragraph" w:styleId="NormalWeb">
    <w:name w:val="Normal (Web)"/>
    <w:basedOn w:val="Normal"/>
    <w:uiPriority w:val="99"/>
    <w:semiHidden/>
    <w:unhideWhenUsed/>
    <w:rsid w:val="0082227F"/>
    <w:rPr>
      <w:rFonts w:ascii="Times New Roman" w:hAnsi="Times New Roman" w:cs="Times New Roman"/>
      <w:sz w:val="24"/>
      <w:szCs w:val="24"/>
    </w:rPr>
  </w:style>
  <w:style w:type="paragraph" w:styleId="Encabezado">
    <w:name w:val="header"/>
    <w:basedOn w:val="Normal"/>
    <w:link w:val="EncabezadoCar"/>
    <w:uiPriority w:val="99"/>
    <w:unhideWhenUsed/>
    <w:rsid w:val="00CC7CD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C7CDB"/>
  </w:style>
  <w:style w:type="paragraph" w:styleId="Piedepgina">
    <w:name w:val="footer"/>
    <w:basedOn w:val="Normal"/>
    <w:link w:val="PiedepginaCar"/>
    <w:uiPriority w:val="99"/>
    <w:unhideWhenUsed/>
    <w:rsid w:val="00CC7CD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C7CDB"/>
  </w:style>
  <w:style w:type="character" w:styleId="Hipervnculo">
    <w:name w:val="Hyperlink"/>
    <w:basedOn w:val="Fuentedeprrafopredeter"/>
    <w:uiPriority w:val="99"/>
    <w:unhideWhenUsed/>
    <w:rsid w:val="00871D3C"/>
    <w:rPr>
      <w:color w:val="0563C1" w:themeColor="hyperlink"/>
      <w:u w:val="single"/>
    </w:rPr>
  </w:style>
  <w:style w:type="character" w:customStyle="1" w:styleId="UnresolvedMention">
    <w:name w:val="Unresolved Mention"/>
    <w:basedOn w:val="Fuentedeprrafopredeter"/>
    <w:uiPriority w:val="99"/>
    <w:semiHidden/>
    <w:unhideWhenUsed/>
    <w:rsid w:val="00871D3C"/>
    <w:rPr>
      <w:color w:val="605E5C"/>
      <w:shd w:val="clear" w:color="auto" w:fill="E1DFDD"/>
    </w:rPr>
  </w:style>
  <w:style w:type="paragraph" w:customStyle="1" w:styleId="Footnote">
    <w:name w:val="Footnote"/>
    <w:rsid w:val="00BD030B"/>
    <w:pPr>
      <w:spacing w:after="0" w:line="240" w:lineRule="auto"/>
    </w:pPr>
    <w:rPr>
      <w:rFonts w:ascii="Times New Roman" w:eastAsia="MS Mincho" w:hAnsi="Times New Roman" w:cs="MS Mincho"/>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2705C-E5DD-4612-B768-77E4ECCF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4193</Words>
  <Characters>23062</Characters>
  <Application>Microsoft Office Word</Application>
  <DocSecurity>0</DocSecurity>
  <Lines>192</Lines>
  <Paragraphs>54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Koch</dc:creator>
  <cp:keywords/>
  <dc:description/>
  <cp:lastModifiedBy>Carlos Estebenet</cp:lastModifiedBy>
  <cp:revision>3</cp:revision>
  <dcterms:created xsi:type="dcterms:W3CDTF">2026-05-25T21:04:00Z</dcterms:created>
  <dcterms:modified xsi:type="dcterms:W3CDTF">2026-05-25T21:04:00Z</dcterms:modified>
</cp:coreProperties>
</file>